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B874A" w14:textId="28D04A26" w:rsidR="005D0416" w:rsidRPr="00A23325" w:rsidRDefault="005D0416" w:rsidP="005D0416">
      <w:pPr>
        <w:tabs>
          <w:tab w:val="right" w:pos="9639"/>
        </w:tabs>
        <w:spacing w:after="0" w:line="240" w:lineRule="auto"/>
        <w:rPr>
          <w:rFonts w:eastAsia="Times New Roman" w:cs="Times New Roman"/>
          <w:b/>
          <w:noProof/>
          <w:sz w:val="24"/>
          <w:szCs w:val="24"/>
          <w:highlight w:val="yellow"/>
          <w:lang w:val="en-GB" w:eastAsia="en-US"/>
        </w:rPr>
      </w:pPr>
      <w:r w:rsidRPr="00A23325">
        <w:rPr>
          <w:b/>
          <w:sz w:val="24"/>
          <w:szCs w:val="24"/>
          <w:lang w:val="en-GB"/>
        </w:rPr>
        <w:t>3GPP TSG-RAN WG4 Meeting #9</w:t>
      </w:r>
      <w:r w:rsidR="001951B0" w:rsidRPr="00A23325">
        <w:rPr>
          <w:b/>
          <w:sz w:val="24"/>
          <w:szCs w:val="24"/>
          <w:lang w:val="en-GB"/>
        </w:rPr>
        <w:t>6</w:t>
      </w:r>
      <w:r w:rsidR="009700B0" w:rsidRPr="00A23325">
        <w:rPr>
          <w:b/>
          <w:sz w:val="24"/>
          <w:szCs w:val="24"/>
          <w:lang w:val="en-GB"/>
        </w:rPr>
        <w:t>-e</w:t>
      </w:r>
      <w:r w:rsidRPr="00A23325">
        <w:rPr>
          <w:rFonts w:eastAsia="Times New Roman" w:cs="Times New Roman"/>
          <w:b/>
          <w:noProof/>
          <w:sz w:val="24"/>
          <w:szCs w:val="24"/>
          <w:lang w:val="en-GB" w:eastAsia="en-US"/>
        </w:rPr>
        <w:tab/>
      </w:r>
      <w:r w:rsidR="00A23325" w:rsidRPr="00A23325">
        <w:rPr>
          <w:b/>
          <w:sz w:val="24"/>
          <w:szCs w:val="24"/>
          <w:lang w:val="en-GB" w:eastAsia="x-none"/>
        </w:rPr>
        <w:t>R4-2011203</w:t>
      </w:r>
    </w:p>
    <w:p w14:paraId="6DA4AFEC" w14:textId="17018977" w:rsidR="004224F3" w:rsidRPr="004F7D0D" w:rsidRDefault="009700B0" w:rsidP="005D0416">
      <w:pPr>
        <w:pStyle w:val="Header"/>
        <w:tabs>
          <w:tab w:val="right" w:pos="10440"/>
          <w:tab w:val="right" w:pos="13323"/>
        </w:tabs>
        <w:rPr>
          <w:rFonts w:ascii="Arial" w:eastAsia="SimSun" w:hAnsi="Arial" w:cs="Arial"/>
          <w:b/>
          <w:sz w:val="24"/>
          <w:szCs w:val="24"/>
          <w:lang w:val="en-GB" w:eastAsia="x-none"/>
        </w:rPr>
      </w:pPr>
      <w:r w:rsidRPr="004F7D0D">
        <w:rPr>
          <w:rFonts w:ascii="Arial" w:hAnsi="Arial"/>
          <w:b/>
          <w:sz w:val="24"/>
          <w:szCs w:val="24"/>
          <w:lang w:val="en-GB"/>
        </w:rPr>
        <w:t>Electronic Meeting</w:t>
      </w:r>
      <w:r w:rsidR="005D0416" w:rsidRPr="004F7D0D">
        <w:rPr>
          <w:rFonts w:ascii="Arial" w:hAnsi="Arial"/>
          <w:b/>
          <w:sz w:val="24"/>
          <w:szCs w:val="24"/>
          <w:lang w:val="en-GB"/>
        </w:rPr>
        <w:t>, 1</w:t>
      </w:r>
      <w:r w:rsidRPr="004F7D0D">
        <w:rPr>
          <w:rFonts w:ascii="Arial" w:hAnsi="Arial"/>
          <w:b/>
          <w:sz w:val="24"/>
          <w:szCs w:val="24"/>
          <w:lang w:val="en-GB"/>
        </w:rPr>
        <w:t>7</w:t>
      </w:r>
      <w:r w:rsidR="005D0416" w:rsidRPr="004F7D0D">
        <w:rPr>
          <w:rFonts w:ascii="Arial" w:hAnsi="Arial"/>
          <w:b/>
          <w:sz w:val="24"/>
          <w:szCs w:val="24"/>
          <w:vertAlign w:val="superscript"/>
          <w:lang w:val="en-GB"/>
        </w:rPr>
        <w:t>th</w:t>
      </w:r>
      <w:r w:rsidR="005D0416" w:rsidRPr="004F7D0D">
        <w:rPr>
          <w:rFonts w:ascii="Arial" w:hAnsi="Arial"/>
          <w:b/>
          <w:sz w:val="24"/>
          <w:szCs w:val="24"/>
          <w:lang w:val="en-GB"/>
        </w:rPr>
        <w:t xml:space="preserve"> – 2</w:t>
      </w:r>
      <w:r w:rsidRPr="004F7D0D">
        <w:rPr>
          <w:rFonts w:ascii="Arial" w:hAnsi="Arial"/>
          <w:b/>
          <w:sz w:val="24"/>
          <w:szCs w:val="24"/>
          <w:lang w:val="en-GB"/>
        </w:rPr>
        <w:t>8</w:t>
      </w:r>
      <w:r w:rsidRPr="004F7D0D">
        <w:rPr>
          <w:rFonts w:ascii="Arial" w:hAnsi="Arial"/>
          <w:b/>
          <w:sz w:val="24"/>
          <w:szCs w:val="24"/>
          <w:vertAlign w:val="superscript"/>
          <w:lang w:val="en-GB"/>
        </w:rPr>
        <w:t>th</w:t>
      </w:r>
      <w:r w:rsidRPr="004F7D0D">
        <w:rPr>
          <w:rFonts w:ascii="Arial" w:hAnsi="Arial"/>
          <w:b/>
          <w:sz w:val="24"/>
          <w:szCs w:val="24"/>
          <w:lang w:val="en-GB"/>
        </w:rPr>
        <w:t xml:space="preserve"> Aug.</w:t>
      </w:r>
      <w:r w:rsidR="005D0416" w:rsidRPr="004F7D0D">
        <w:rPr>
          <w:rFonts w:ascii="Arial" w:hAnsi="Arial"/>
          <w:b/>
          <w:sz w:val="24"/>
          <w:szCs w:val="24"/>
          <w:lang w:val="en-GB"/>
        </w:rPr>
        <w:t>, 20</w:t>
      </w:r>
      <w:r w:rsidRPr="004F7D0D">
        <w:rPr>
          <w:rFonts w:ascii="Arial" w:hAnsi="Arial"/>
          <w:b/>
          <w:sz w:val="24"/>
          <w:szCs w:val="24"/>
          <w:lang w:val="en-GB"/>
        </w:rPr>
        <w:t>20</w:t>
      </w:r>
    </w:p>
    <w:p w14:paraId="066630B7" w14:textId="77777777" w:rsidR="00401DBF" w:rsidRPr="004F7D0D" w:rsidRDefault="00401DBF" w:rsidP="00401DBF">
      <w:pPr>
        <w:rPr>
          <w:lang w:val="en-GB"/>
        </w:rPr>
      </w:pPr>
    </w:p>
    <w:p w14:paraId="19679162" w14:textId="703B9438" w:rsidR="00401DBF" w:rsidRPr="004F7D0D" w:rsidRDefault="00401DBF" w:rsidP="004460ED">
      <w:pPr>
        <w:tabs>
          <w:tab w:val="left" w:pos="1985"/>
        </w:tabs>
        <w:ind w:left="2127" w:hanging="2127"/>
        <w:rPr>
          <w:rFonts w:eastAsia="SimSun"/>
          <w:sz w:val="24"/>
          <w:szCs w:val="24"/>
          <w:lang w:val="en-GB"/>
        </w:rPr>
      </w:pPr>
      <w:r w:rsidRPr="004F7D0D">
        <w:rPr>
          <w:rFonts w:eastAsia="SimSun"/>
          <w:b/>
          <w:sz w:val="24"/>
          <w:szCs w:val="24"/>
          <w:lang w:val="en-GB"/>
        </w:rPr>
        <w:t>Agenda Item:</w:t>
      </w:r>
      <w:r w:rsidRPr="004F7D0D">
        <w:rPr>
          <w:rFonts w:eastAsia="SimSun"/>
          <w:b/>
          <w:sz w:val="24"/>
          <w:szCs w:val="24"/>
          <w:lang w:val="en-GB"/>
        </w:rPr>
        <w:tab/>
      </w:r>
      <w:r w:rsidRPr="004F7D0D">
        <w:rPr>
          <w:rFonts w:eastAsia="SimSun"/>
          <w:b/>
          <w:sz w:val="24"/>
          <w:szCs w:val="24"/>
          <w:lang w:val="en-GB"/>
        </w:rPr>
        <w:tab/>
      </w:r>
      <w:r w:rsidR="009700B0" w:rsidRPr="004F7D0D">
        <w:rPr>
          <w:rFonts w:eastAsia="SimSun"/>
          <w:sz w:val="24"/>
          <w:szCs w:val="24"/>
          <w:lang w:val="en-GB"/>
        </w:rPr>
        <w:t>7.17.4</w:t>
      </w:r>
    </w:p>
    <w:p w14:paraId="35411938" w14:textId="77777777" w:rsidR="00401DBF" w:rsidRPr="004F7D0D" w:rsidRDefault="00401DBF" w:rsidP="004460ED">
      <w:pPr>
        <w:tabs>
          <w:tab w:val="left" w:pos="1985"/>
        </w:tabs>
        <w:ind w:left="2127" w:hanging="2127"/>
        <w:rPr>
          <w:rFonts w:eastAsia="SimSun"/>
          <w:sz w:val="24"/>
          <w:szCs w:val="24"/>
          <w:lang w:val="en-GB"/>
        </w:rPr>
      </w:pPr>
      <w:r w:rsidRPr="004F7D0D">
        <w:rPr>
          <w:rFonts w:eastAsia="SimSun"/>
          <w:b/>
          <w:sz w:val="24"/>
          <w:szCs w:val="24"/>
          <w:lang w:val="en-GB"/>
        </w:rPr>
        <w:t xml:space="preserve">Source: </w:t>
      </w:r>
      <w:r w:rsidRPr="004F7D0D">
        <w:rPr>
          <w:rFonts w:eastAsia="SimSun"/>
          <w:b/>
          <w:sz w:val="24"/>
          <w:szCs w:val="24"/>
          <w:lang w:val="en-GB"/>
        </w:rPr>
        <w:tab/>
      </w:r>
      <w:r w:rsidRPr="004F7D0D">
        <w:rPr>
          <w:rFonts w:eastAsia="SimSun"/>
          <w:b/>
          <w:sz w:val="24"/>
          <w:szCs w:val="24"/>
          <w:lang w:val="en-GB"/>
        </w:rPr>
        <w:tab/>
      </w:r>
      <w:r w:rsidRPr="004F7D0D">
        <w:rPr>
          <w:rFonts w:eastAsia="SimSun"/>
          <w:sz w:val="24"/>
          <w:szCs w:val="24"/>
          <w:lang w:val="en-GB"/>
        </w:rPr>
        <w:t>Rohde &amp; Schwarz</w:t>
      </w:r>
    </w:p>
    <w:p w14:paraId="1D71512A" w14:textId="618BD2CE" w:rsidR="00401DBF" w:rsidRPr="004F7D0D" w:rsidRDefault="00401DBF" w:rsidP="004460ED">
      <w:pPr>
        <w:tabs>
          <w:tab w:val="left" w:pos="1985"/>
        </w:tabs>
        <w:ind w:left="2127" w:hanging="2127"/>
        <w:rPr>
          <w:rFonts w:eastAsia="SimSun"/>
          <w:b/>
          <w:sz w:val="24"/>
          <w:szCs w:val="24"/>
          <w:lang w:val="en-GB"/>
        </w:rPr>
      </w:pPr>
      <w:r w:rsidRPr="004F7D0D">
        <w:rPr>
          <w:rFonts w:eastAsia="SimSun"/>
          <w:b/>
          <w:sz w:val="24"/>
          <w:szCs w:val="24"/>
          <w:lang w:val="en-GB"/>
        </w:rPr>
        <w:t xml:space="preserve">Title: </w:t>
      </w:r>
      <w:r w:rsidRPr="004F7D0D">
        <w:rPr>
          <w:rFonts w:eastAsia="SimSun"/>
          <w:b/>
          <w:sz w:val="24"/>
          <w:szCs w:val="24"/>
          <w:lang w:val="en-GB"/>
        </w:rPr>
        <w:tab/>
      </w:r>
      <w:r w:rsidRPr="004F7D0D">
        <w:rPr>
          <w:rFonts w:eastAsia="SimSun"/>
          <w:b/>
          <w:sz w:val="24"/>
          <w:szCs w:val="24"/>
          <w:lang w:val="en-GB"/>
        </w:rPr>
        <w:tab/>
      </w:r>
      <w:r w:rsidR="006B34DE" w:rsidRPr="004F7D0D">
        <w:rPr>
          <w:rFonts w:eastAsia="SimSun"/>
          <w:sz w:val="24"/>
          <w:szCs w:val="24"/>
          <w:lang w:val="en-GB"/>
        </w:rPr>
        <w:t xml:space="preserve">Plane Wave Synthesizer </w:t>
      </w:r>
      <w:r w:rsidR="006C16F1" w:rsidRPr="004F7D0D">
        <w:rPr>
          <w:rFonts w:eastAsia="SimSun"/>
          <w:sz w:val="24"/>
          <w:szCs w:val="24"/>
          <w:lang w:val="en-GB"/>
        </w:rPr>
        <w:t xml:space="preserve">– </w:t>
      </w:r>
      <w:r w:rsidR="006B34DE" w:rsidRPr="004F7D0D">
        <w:rPr>
          <w:rFonts w:eastAsia="SimSun"/>
          <w:sz w:val="24"/>
          <w:szCs w:val="24"/>
          <w:lang w:val="en-GB"/>
        </w:rPr>
        <w:t xml:space="preserve">Pending </w:t>
      </w:r>
      <w:r w:rsidR="00E36562" w:rsidRPr="004F7D0D">
        <w:rPr>
          <w:rFonts w:eastAsia="SimSun"/>
          <w:sz w:val="24"/>
          <w:szCs w:val="24"/>
          <w:lang w:val="en-GB"/>
        </w:rPr>
        <w:t xml:space="preserve">MU </w:t>
      </w:r>
      <w:r w:rsidR="006B34DE" w:rsidRPr="004F7D0D">
        <w:rPr>
          <w:rFonts w:eastAsia="SimSun"/>
          <w:sz w:val="24"/>
          <w:szCs w:val="24"/>
          <w:lang w:val="en-GB"/>
        </w:rPr>
        <w:t>term</w:t>
      </w:r>
    </w:p>
    <w:p w14:paraId="1F43673D" w14:textId="5D180CA9" w:rsidR="00401DBF" w:rsidRPr="004F7D0D" w:rsidRDefault="00401DBF" w:rsidP="004460ED">
      <w:pPr>
        <w:tabs>
          <w:tab w:val="left" w:pos="1985"/>
        </w:tabs>
        <w:ind w:left="2127" w:hanging="2127"/>
        <w:rPr>
          <w:rFonts w:eastAsia="SimSun"/>
          <w:b/>
          <w:sz w:val="24"/>
          <w:szCs w:val="24"/>
          <w:lang w:val="en-GB"/>
        </w:rPr>
      </w:pPr>
      <w:r w:rsidRPr="004F7D0D">
        <w:rPr>
          <w:rFonts w:eastAsia="SimSun"/>
          <w:b/>
          <w:sz w:val="24"/>
          <w:szCs w:val="24"/>
          <w:lang w:val="en-GB"/>
        </w:rPr>
        <w:t>Document for:</w:t>
      </w:r>
      <w:r w:rsidRPr="004F7D0D">
        <w:rPr>
          <w:rFonts w:eastAsia="SimSun"/>
          <w:b/>
          <w:sz w:val="24"/>
          <w:szCs w:val="24"/>
          <w:lang w:val="en-GB"/>
        </w:rPr>
        <w:tab/>
      </w:r>
      <w:r w:rsidRPr="004F7D0D">
        <w:rPr>
          <w:rFonts w:eastAsia="SimSun"/>
          <w:b/>
          <w:sz w:val="24"/>
          <w:szCs w:val="24"/>
          <w:lang w:val="en-GB"/>
        </w:rPr>
        <w:tab/>
      </w:r>
      <w:r w:rsidR="00432B40" w:rsidRPr="004F7D0D">
        <w:rPr>
          <w:rFonts w:eastAsia="SimSun"/>
          <w:sz w:val="24"/>
          <w:szCs w:val="24"/>
          <w:lang w:val="en-GB"/>
        </w:rPr>
        <w:t>Discussion</w:t>
      </w:r>
    </w:p>
    <w:p w14:paraId="77DC64BA" w14:textId="77777777" w:rsidR="00B81FC7" w:rsidRPr="004F7D0D" w:rsidRDefault="00B81FC7" w:rsidP="00B81FC7">
      <w:pPr>
        <w:pStyle w:val="Heading1"/>
        <w:rPr>
          <w:rFonts w:cs="Arial"/>
          <w:szCs w:val="28"/>
        </w:rPr>
      </w:pPr>
      <w:r w:rsidRPr="004F7D0D">
        <w:rPr>
          <w:rFonts w:cs="Arial"/>
          <w:szCs w:val="28"/>
        </w:rPr>
        <w:t>Introduction</w:t>
      </w:r>
    </w:p>
    <w:p w14:paraId="0A7865F2" w14:textId="5B552BD0" w:rsidR="00CC320C" w:rsidRPr="004F7D0D" w:rsidRDefault="006B34DE" w:rsidP="00A80346">
      <w:pPr>
        <w:jc w:val="both"/>
        <w:rPr>
          <w:lang w:val="en-GB"/>
        </w:rPr>
      </w:pPr>
      <w:bookmarkStart w:id="0" w:name="_GoBack"/>
      <w:r w:rsidRPr="004F7D0D">
        <w:rPr>
          <w:lang w:val="en-GB"/>
        </w:rPr>
        <w:t xml:space="preserve">Following </w:t>
      </w:r>
      <w:r w:rsidR="00CC320C" w:rsidRPr="004F7D0D">
        <w:rPr>
          <w:lang w:val="en-GB"/>
        </w:rPr>
        <w:t xml:space="preserve">the </w:t>
      </w:r>
      <w:r w:rsidR="00CA154F">
        <w:rPr>
          <w:lang w:val="en-GB"/>
        </w:rPr>
        <w:t xml:space="preserve">effort </w:t>
      </w:r>
      <w:r w:rsidR="00CC320C" w:rsidRPr="004F7D0D">
        <w:rPr>
          <w:lang w:val="en-GB"/>
        </w:rPr>
        <w:t>from previous meeting</w:t>
      </w:r>
      <w:r w:rsidR="005D0416" w:rsidRPr="004F7D0D">
        <w:rPr>
          <w:lang w:val="en-GB"/>
        </w:rPr>
        <w:t>s</w:t>
      </w:r>
      <w:r w:rsidR="00CC320C" w:rsidRPr="004F7D0D">
        <w:rPr>
          <w:lang w:val="en-GB"/>
        </w:rPr>
        <w:t xml:space="preserve"> where Plane Wave Synthesizer (PWS) was </w:t>
      </w:r>
      <w:r w:rsidR="009700B0" w:rsidRPr="004F7D0D">
        <w:rPr>
          <w:lang w:val="en-GB"/>
        </w:rPr>
        <w:t xml:space="preserve">included </w:t>
      </w:r>
      <w:r w:rsidR="00CC320C" w:rsidRPr="004F7D0D">
        <w:rPr>
          <w:lang w:val="en-GB"/>
        </w:rPr>
        <w:t>as accepted method in TR 37.</w:t>
      </w:r>
      <w:r w:rsidR="009700B0" w:rsidRPr="004F7D0D">
        <w:rPr>
          <w:lang w:val="en-GB"/>
        </w:rPr>
        <w:t>941</w:t>
      </w:r>
      <w:r w:rsidR="00D10B4F" w:rsidRPr="004F7D0D">
        <w:rPr>
          <w:lang w:val="en-GB"/>
        </w:rPr>
        <w:t xml:space="preserve"> </w:t>
      </w:r>
      <w:r w:rsidR="0004698F">
        <w:rPr>
          <w:lang w:val="en-GB"/>
        </w:rPr>
        <w:fldChar w:fldCharType="begin"/>
      </w:r>
      <w:r w:rsidR="0004698F">
        <w:rPr>
          <w:lang w:val="en-GB"/>
        </w:rPr>
        <w:instrText xml:space="preserve"> REF _Ref47708830 \r \h </w:instrText>
      </w:r>
      <w:r w:rsidR="0004698F">
        <w:rPr>
          <w:lang w:val="en-GB"/>
        </w:rPr>
      </w:r>
      <w:r w:rsidR="0004698F">
        <w:rPr>
          <w:lang w:val="en-GB"/>
        </w:rPr>
        <w:fldChar w:fldCharType="separate"/>
      </w:r>
      <w:r w:rsidR="003645D2">
        <w:rPr>
          <w:lang w:val="en-GB"/>
        </w:rPr>
        <w:t>[1]</w:t>
      </w:r>
      <w:r w:rsidR="0004698F">
        <w:rPr>
          <w:lang w:val="en-GB"/>
        </w:rPr>
        <w:fldChar w:fldCharType="end"/>
      </w:r>
      <w:r w:rsidR="009700B0" w:rsidRPr="004F7D0D">
        <w:rPr>
          <w:lang w:val="en-GB"/>
        </w:rPr>
        <w:t xml:space="preserve"> and the MU assessment was introduced together with remaining methods</w:t>
      </w:r>
      <w:r w:rsidR="00CC320C" w:rsidRPr="004F7D0D">
        <w:rPr>
          <w:lang w:val="en-GB"/>
        </w:rPr>
        <w:t xml:space="preserve">, this contribution presents an analysis of the MU term that </w:t>
      </w:r>
      <w:r w:rsidR="009700B0" w:rsidRPr="004F7D0D">
        <w:rPr>
          <w:lang w:val="en-GB"/>
        </w:rPr>
        <w:t>was still pending for the frequency range up to 4.2GHz.</w:t>
      </w:r>
    </w:p>
    <w:p w14:paraId="74BA6A2E" w14:textId="06F99C92" w:rsidR="00031097" w:rsidRPr="004F7D0D" w:rsidRDefault="00F22369" w:rsidP="00031097">
      <w:pPr>
        <w:pStyle w:val="Heading1"/>
        <w:rPr>
          <w:rFonts w:cs="Arial"/>
        </w:rPr>
      </w:pPr>
      <w:bookmarkStart w:id="1" w:name="OLE_LINK10"/>
      <w:bookmarkStart w:id="2" w:name="OLE_LINK11"/>
      <w:r w:rsidRPr="004F7D0D">
        <w:rPr>
          <w:rFonts w:cs="Arial"/>
        </w:rPr>
        <w:t>MU budget</w:t>
      </w:r>
    </w:p>
    <w:p w14:paraId="49C9694D" w14:textId="459B3D19" w:rsidR="004460ED" w:rsidRPr="004F7D0D" w:rsidRDefault="00F22369" w:rsidP="004F7D0D">
      <w:pPr>
        <w:jc w:val="both"/>
        <w:rPr>
          <w:lang w:val="en-GB" w:eastAsia="en-US"/>
        </w:rPr>
      </w:pPr>
      <w:r w:rsidRPr="004F7D0D">
        <w:rPr>
          <w:lang w:val="en-GB" w:eastAsia="en-US"/>
        </w:rPr>
        <w:t xml:space="preserve">The </w:t>
      </w:r>
      <w:r w:rsidR="00CC320C" w:rsidRPr="004F7D0D">
        <w:rPr>
          <w:lang w:val="en-GB" w:eastAsia="en-US"/>
        </w:rPr>
        <w:t xml:space="preserve">following </w:t>
      </w:r>
      <w:r w:rsidR="009700B0" w:rsidRPr="004F7D0D">
        <w:rPr>
          <w:lang w:val="en-GB" w:eastAsia="en-US"/>
        </w:rPr>
        <w:t xml:space="preserve">is </w:t>
      </w:r>
      <w:r w:rsidR="00CC320C" w:rsidRPr="004F7D0D">
        <w:rPr>
          <w:lang w:val="en-GB" w:eastAsia="en-US"/>
        </w:rPr>
        <w:t>the MU budget table applicable to PWS</w:t>
      </w:r>
      <w:r w:rsidR="009700B0" w:rsidRPr="004F7D0D">
        <w:rPr>
          <w:lang w:val="en-GB" w:eastAsia="en-US"/>
        </w:rPr>
        <w:t>,</w:t>
      </w:r>
      <w:r w:rsidR="00CC320C" w:rsidRPr="004F7D0D">
        <w:rPr>
          <w:lang w:val="en-GB" w:eastAsia="en-US"/>
        </w:rPr>
        <w:t xml:space="preserve"> as agreed in</w:t>
      </w:r>
      <w:r w:rsidR="009700B0" w:rsidRPr="004F7D0D">
        <w:rPr>
          <w:lang w:val="en-GB" w:eastAsia="en-US"/>
        </w:rPr>
        <w:t xml:space="preserve"> </w:t>
      </w:r>
      <w:r w:rsidR="009700B0" w:rsidRPr="004F7D0D">
        <w:rPr>
          <w:lang w:val="en-GB"/>
        </w:rPr>
        <w:t>TR 37.941</w:t>
      </w:r>
      <w:r w:rsidR="0004698F">
        <w:rPr>
          <w:lang w:val="en-GB"/>
        </w:rPr>
        <w:t xml:space="preserve"> </w:t>
      </w:r>
      <w:r w:rsidR="0004698F">
        <w:rPr>
          <w:lang w:val="en-GB"/>
        </w:rPr>
        <w:fldChar w:fldCharType="begin"/>
      </w:r>
      <w:r w:rsidR="0004698F">
        <w:rPr>
          <w:lang w:val="en-GB"/>
        </w:rPr>
        <w:instrText xml:space="preserve"> REF _Ref47708830 \r \h </w:instrText>
      </w:r>
      <w:r w:rsidR="0004698F">
        <w:rPr>
          <w:lang w:val="en-GB"/>
        </w:rPr>
      </w:r>
      <w:r w:rsidR="0004698F">
        <w:rPr>
          <w:lang w:val="en-GB"/>
        </w:rPr>
        <w:fldChar w:fldCharType="separate"/>
      </w:r>
      <w:r w:rsidR="003645D2">
        <w:rPr>
          <w:lang w:val="en-GB"/>
        </w:rPr>
        <w:t>[1]</w:t>
      </w:r>
      <w:r w:rsidR="0004698F">
        <w:rPr>
          <w:lang w:val="en-GB"/>
        </w:rPr>
        <w:fldChar w:fldCharType="end"/>
      </w:r>
      <w:r w:rsidR="009700B0" w:rsidRPr="004F7D0D">
        <w:rPr>
          <w:lang w:val="en-GB"/>
        </w:rPr>
        <w:t>,</w:t>
      </w:r>
      <w:r w:rsidR="009700B0" w:rsidRPr="004F7D0D">
        <w:rPr>
          <w:lang w:val="en-GB" w:eastAsia="en-US"/>
        </w:rPr>
        <w:t xml:space="preserve"> for EIRP </w:t>
      </w:r>
      <w:r w:rsidR="00CC320C" w:rsidRPr="004F7D0D">
        <w:rPr>
          <w:lang w:val="en-GB" w:eastAsia="en-US"/>
        </w:rPr>
        <w:t>measurements</w:t>
      </w:r>
      <w:r w:rsidR="009700B0" w:rsidRPr="004F7D0D">
        <w:rPr>
          <w:lang w:val="en-GB" w:eastAsia="en-US"/>
        </w:rPr>
        <w:t xml:space="preserve"> </w:t>
      </w:r>
      <w:r w:rsidR="00CC320C" w:rsidRPr="004F7D0D">
        <w:rPr>
          <w:lang w:val="en-GB" w:eastAsia="en-US"/>
        </w:rPr>
        <w:t xml:space="preserve">where the </w:t>
      </w:r>
      <w:r w:rsidR="0004698F">
        <w:rPr>
          <w:lang w:val="en-GB" w:eastAsia="en-US"/>
        </w:rPr>
        <w:t xml:space="preserve">pending </w:t>
      </w:r>
      <w:r w:rsidR="00CC320C" w:rsidRPr="004F7D0D">
        <w:rPr>
          <w:lang w:val="en-GB" w:eastAsia="en-US"/>
        </w:rPr>
        <w:t xml:space="preserve">MU term that required further analysis </w:t>
      </w:r>
      <w:r w:rsidR="009700B0" w:rsidRPr="004F7D0D">
        <w:rPr>
          <w:lang w:val="en-GB" w:eastAsia="en-US"/>
        </w:rPr>
        <w:t>is h</w:t>
      </w:r>
      <w:r w:rsidR="00CC320C" w:rsidRPr="004F7D0D">
        <w:rPr>
          <w:lang w:val="en-GB" w:eastAsia="en-US"/>
        </w:rPr>
        <w:t>ighlighted:</w:t>
      </w:r>
    </w:p>
    <w:bookmarkEnd w:id="0"/>
    <w:p w14:paraId="0AA02651" w14:textId="6DDF62A5" w:rsidR="00CC320C" w:rsidRDefault="00CC320C" w:rsidP="004460ED">
      <w:pPr>
        <w:rPr>
          <w:lang w:val="en-GB" w:eastAsia="en-US"/>
        </w:rPr>
      </w:pPr>
      <w:r w:rsidRPr="004F7D0D">
        <w:rPr>
          <w:noProof/>
          <w:lang w:eastAsia="en-US"/>
        </w:rPr>
        <w:lastRenderedPageBreak/>
        <mc:AlternateContent>
          <mc:Choice Requires="wps">
            <w:drawing>
              <wp:inline distT="0" distB="0" distL="0" distR="0" wp14:anchorId="63965172" wp14:editId="06BF9962">
                <wp:extent cx="5960853" cy="1404620"/>
                <wp:effectExtent l="0" t="0" r="2095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853" cy="1404620"/>
                        </a:xfrm>
                        <a:prstGeom prst="rect">
                          <a:avLst/>
                        </a:prstGeom>
                        <a:solidFill>
                          <a:srgbClr val="FFFFFF"/>
                        </a:solidFill>
                        <a:ln w="9525">
                          <a:solidFill>
                            <a:srgbClr val="000000"/>
                          </a:solidFill>
                          <a:miter lim="800000"/>
                          <a:headEnd/>
                          <a:tailEnd/>
                        </a:ln>
                      </wps:spPr>
                      <wps:txbx>
                        <w:txbxContent>
                          <w:p w14:paraId="44CA4AF2" w14:textId="77777777" w:rsidR="009700B0" w:rsidRPr="009700B0" w:rsidRDefault="009700B0" w:rsidP="009700B0">
                            <w:pPr>
                              <w:keepNext/>
                              <w:keepLines/>
                              <w:spacing w:before="120" w:after="180" w:line="240" w:lineRule="auto"/>
                              <w:outlineLvl w:val="3"/>
                              <w:rPr>
                                <w:rFonts w:eastAsia="DengXian" w:cs="Times New Roman"/>
                                <w:szCs w:val="20"/>
                                <w:lang w:val="en-GB" w:eastAsia="en-US"/>
                              </w:rPr>
                            </w:pPr>
                            <w:bookmarkStart w:id="3" w:name="_Toc21086253"/>
                            <w:bookmarkStart w:id="4" w:name="_Toc29768690"/>
                            <w:bookmarkStart w:id="5" w:name="_Toc32332070"/>
                            <w:bookmarkStart w:id="6" w:name="_Toc37429985"/>
                            <w:bookmarkStart w:id="7" w:name="_Toc43739059"/>
                            <w:bookmarkStart w:id="8" w:name="_Toc46346820"/>
                            <w:r w:rsidRPr="009700B0">
                              <w:rPr>
                                <w:rFonts w:eastAsia="DengXian" w:cs="Times New Roman"/>
                                <w:szCs w:val="20"/>
                                <w:lang w:val="en-GB" w:eastAsia="en-US"/>
                              </w:rPr>
                              <w:t>9.2.6.3</w:t>
                            </w:r>
                            <w:r w:rsidRPr="009700B0">
                              <w:rPr>
                                <w:rFonts w:eastAsia="DengXian" w:cs="Times New Roman"/>
                                <w:szCs w:val="20"/>
                                <w:lang w:val="en-GB" w:eastAsia="en-US"/>
                              </w:rPr>
                              <w:tab/>
                              <w:t>MU value</w:t>
                            </w:r>
                            <w:bookmarkEnd w:id="3"/>
                            <w:bookmarkEnd w:id="4"/>
                            <w:r w:rsidRPr="009700B0">
                              <w:rPr>
                                <w:rFonts w:eastAsia="DengXian" w:cs="Times New Roman"/>
                                <w:szCs w:val="20"/>
                                <w:lang w:val="en-GB" w:eastAsia="en-US"/>
                              </w:rPr>
                              <w:t xml:space="preserve"> derivation, FR1</w:t>
                            </w:r>
                            <w:bookmarkEnd w:id="5"/>
                            <w:bookmarkEnd w:id="6"/>
                            <w:bookmarkEnd w:id="7"/>
                            <w:bookmarkEnd w:id="8"/>
                          </w:p>
                          <w:p w14:paraId="1FAA08F9" w14:textId="77777777" w:rsidR="009700B0" w:rsidRPr="009700B0" w:rsidRDefault="009700B0" w:rsidP="009700B0">
                            <w:pPr>
                              <w:spacing w:after="180" w:line="240" w:lineRule="auto"/>
                              <w:rPr>
                                <w:rFonts w:ascii="Times New Roman" w:eastAsia="DengXian" w:hAnsi="Times New Roman" w:cs="Times New Roman"/>
                                <w:sz w:val="18"/>
                                <w:szCs w:val="20"/>
                                <w:lang w:val="en-GB" w:eastAsia="en-US"/>
                              </w:rPr>
                            </w:pPr>
                            <w:r w:rsidRPr="009700B0">
                              <w:rPr>
                                <w:rFonts w:ascii="Times New Roman" w:eastAsia="DengXian" w:hAnsi="Times New Roman" w:cs="Times New Roman"/>
                                <w:sz w:val="18"/>
                                <w:szCs w:val="20"/>
                                <w:lang w:val="en-GB" w:eastAsia="sv-SE"/>
                              </w:rPr>
                              <w:t xml:space="preserve">Table </w:t>
                            </w:r>
                            <w:r w:rsidRPr="009700B0">
                              <w:rPr>
                                <w:rFonts w:ascii="Times New Roman" w:eastAsia="DengXian" w:hAnsi="Times New Roman" w:cs="Times New Roman"/>
                                <w:sz w:val="18"/>
                                <w:szCs w:val="20"/>
                                <w:lang w:val="en-GB" w:eastAsia="en-US"/>
                              </w:rPr>
                              <w:t xml:space="preserve">9.2.6.3-1 captures the uncertainty budget contributors and table 9.2.6.3-2 captures the derivation of the expanded measurement uncertainty values for EIRP accuracy measurements in </w:t>
                            </w:r>
                            <w:r w:rsidRPr="009700B0">
                              <w:rPr>
                                <w:rFonts w:ascii="Times New Roman" w:eastAsia="DengXian" w:hAnsi="Times New Roman" w:cs="Times New Roman"/>
                                <w:sz w:val="18"/>
                                <w:szCs w:val="20"/>
                                <w:lang w:eastAsia="en-US"/>
                              </w:rPr>
                              <w:t>PWS</w:t>
                            </w:r>
                            <w:r w:rsidRPr="009700B0">
                              <w:rPr>
                                <w:rFonts w:ascii="Times New Roman" w:eastAsia="DengXian" w:hAnsi="Times New Roman" w:cs="Times New Roman"/>
                                <w:sz w:val="18"/>
                                <w:szCs w:val="20"/>
                                <w:lang w:val="en-GB" w:eastAsia="en-US"/>
                              </w:rPr>
                              <w:t>.</w:t>
                            </w:r>
                          </w:p>
                          <w:p w14:paraId="5926F0E0" w14:textId="77777777" w:rsidR="009700B0" w:rsidRPr="009700B0" w:rsidRDefault="009700B0" w:rsidP="009700B0">
                            <w:pPr>
                              <w:keepNext/>
                              <w:keepLines/>
                              <w:spacing w:before="60" w:after="180" w:line="240" w:lineRule="auto"/>
                              <w:jc w:val="center"/>
                              <w:rPr>
                                <w:rFonts w:eastAsia="DengXian" w:cs="Times New Roman"/>
                                <w:b/>
                                <w:sz w:val="18"/>
                                <w:szCs w:val="20"/>
                                <w:lang w:val="en-GB" w:eastAsia="en-US"/>
                              </w:rPr>
                            </w:pPr>
                            <w:r w:rsidRPr="009700B0">
                              <w:rPr>
                                <w:rFonts w:eastAsia="DengXian" w:cs="Times New Roman"/>
                                <w:b/>
                                <w:sz w:val="18"/>
                                <w:szCs w:val="20"/>
                                <w:lang w:val="en-GB" w:eastAsia="en-US"/>
                              </w:rPr>
                              <w:t xml:space="preserve">Table 9.2.6.3-1: PWS </w:t>
                            </w:r>
                            <w:r w:rsidRPr="009700B0">
                              <w:rPr>
                                <w:rFonts w:eastAsia="DengXian" w:cs="Times New Roman"/>
                                <w:b/>
                                <w:sz w:val="18"/>
                                <w:szCs w:val="20"/>
                                <w:lang w:val="en-GB" w:eastAsia="sv-SE"/>
                              </w:rPr>
                              <w:t>measurement</w:t>
                            </w:r>
                            <w:r w:rsidRPr="009700B0">
                              <w:rPr>
                                <w:rFonts w:eastAsia="DengXian" w:cs="Times New Roman"/>
                                <w:b/>
                                <w:sz w:val="18"/>
                                <w:szCs w:val="20"/>
                                <w:lang w:val="en-GB" w:eastAsia="en-US"/>
                              </w:rPr>
                              <w:t xml:space="preserve"> accuracy contributors</w:t>
                            </w:r>
                            <w:r w:rsidRPr="009700B0">
                              <w:rPr>
                                <w:rFonts w:eastAsia="DengXian" w:cs="Times New Roman"/>
                                <w:b/>
                                <w:sz w:val="18"/>
                                <w:szCs w:val="20"/>
                                <w:lang w:val="en-GB" w:eastAsia="sv-SE"/>
                              </w:rPr>
                              <w:t xml:space="preserve"> for</w:t>
                            </w:r>
                            <w:r w:rsidRPr="009700B0">
                              <w:rPr>
                                <w:rFonts w:eastAsia="DengXian" w:cs="Times New Roman"/>
                                <w:b/>
                                <w:sz w:val="18"/>
                                <w:szCs w:val="20"/>
                                <w:lang w:val="en-GB" w:eastAsia="en-US"/>
                              </w:rPr>
                              <w:t xml:space="preserve"> EIRP </w:t>
                            </w:r>
                            <w:r w:rsidRPr="009700B0">
                              <w:rPr>
                                <w:rFonts w:eastAsia="DengXian" w:cs="Times New Roman"/>
                                <w:b/>
                                <w:sz w:val="18"/>
                                <w:szCs w:val="20"/>
                                <w:lang w:val="en-GB" w:eastAsia="sv-SE"/>
                              </w:rPr>
                              <w:t xml:space="preserve">accuracy </w:t>
                            </w:r>
                            <w:r w:rsidRPr="009700B0">
                              <w:rPr>
                                <w:rFonts w:eastAsia="DengXian" w:cs="Times New Roman"/>
                                <w:b/>
                                <w:sz w:val="18"/>
                                <w:szCs w:val="20"/>
                                <w:lang w:val="en-GB" w:eastAsia="en-US"/>
                              </w:rPr>
                              <w:t>measurements, FR1</w:t>
                            </w:r>
                          </w:p>
                          <w:tbl>
                            <w:tblPr>
                              <w:tblW w:w="0" w:type="auto"/>
                              <w:jc w:val="center"/>
                              <w:tblLook w:val="04A0" w:firstRow="1" w:lastRow="0" w:firstColumn="1" w:lastColumn="0" w:noHBand="0" w:noVBand="1"/>
                            </w:tblPr>
                            <w:tblGrid>
                              <w:gridCol w:w="1640"/>
                              <w:gridCol w:w="6699"/>
                            </w:tblGrid>
                            <w:tr w:rsidR="009700B0" w:rsidRPr="009700B0" w14:paraId="7FEC3CA6" w14:textId="77777777" w:rsidTr="009700B0">
                              <w:trPr>
                                <w:trHeight w:val="28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F3B8F6"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0B8B50"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Uncertainty source</w:t>
                                  </w:r>
                                </w:p>
                              </w:tc>
                            </w:tr>
                            <w:tr w:rsidR="009700B0" w:rsidRPr="009700B0" w14:paraId="3177252B" w14:textId="77777777" w:rsidTr="009700B0">
                              <w:trPr>
                                <w:trHeight w:val="186"/>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4DF9C2D"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Stage 2: BS measurement</w:t>
                                  </w:r>
                                </w:p>
                              </w:tc>
                            </w:tr>
                            <w:tr w:rsidR="009700B0" w:rsidRPr="009700B0" w14:paraId="18ED5C98"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9ACA7"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A7-1a</w:t>
                                  </w:r>
                                </w:p>
                              </w:tc>
                              <w:tc>
                                <w:tcPr>
                                  <w:tcW w:w="0" w:type="auto"/>
                                  <w:tcBorders>
                                    <w:top w:val="nil"/>
                                    <w:left w:val="nil"/>
                                    <w:bottom w:val="single" w:sz="4" w:space="0" w:color="auto"/>
                                    <w:right w:val="single" w:sz="4" w:space="0" w:color="auto"/>
                                  </w:tcBorders>
                                  <w:shd w:val="clear" w:color="auto" w:fill="auto"/>
                                  <w:vAlign w:val="center"/>
                                  <w:hideMark/>
                                </w:tcPr>
                                <w:p w14:paraId="33C147D4"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BS &amp; pointing error</w:t>
                                  </w:r>
                                </w:p>
                              </w:tc>
                            </w:tr>
                            <w:tr w:rsidR="009700B0" w:rsidRPr="009700B0" w14:paraId="0940F0FE"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05FF1F"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C1-1</w:t>
                                  </w:r>
                                </w:p>
                              </w:tc>
                              <w:tc>
                                <w:tcPr>
                                  <w:tcW w:w="0" w:type="auto"/>
                                  <w:tcBorders>
                                    <w:top w:val="nil"/>
                                    <w:left w:val="nil"/>
                                    <w:bottom w:val="single" w:sz="4" w:space="0" w:color="auto"/>
                                    <w:right w:val="single" w:sz="4" w:space="0" w:color="auto"/>
                                  </w:tcBorders>
                                  <w:shd w:val="clear" w:color="auto" w:fill="auto"/>
                                  <w:vAlign w:val="center"/>
                                  <w:hideMark/>
                                </w:tcPr>
                                <w:p w14:paraId="3219222D"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power measurement equipment (e.g. spectrum analyzer, power meter)</w:t>
                                  </w:r>
                                </w:p>
                              </w:tc>
                            </w:tr>
                            <w:tr w:rsidR="009700B0" w:rsidRPr="009700B0" w14:paraId="6A72734B"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9EF2E" w14:textId="77777777" w:rsidR="009700B0" w:rsidRPr="009700B0" w:rsidRDefault="009700B0" w:rsidP="009700B0">
                                  <w:pPr>
                                    <w:spacing w:after="0" w:line="240" w:lineRule="auto"/>
                                    <w:jc w:val="center"/>
                                    <w:rPr>
                                      <w:rFonts w:eastAsia="SimSun"/>
                                      <w:color w:val="000000"/>
                                      <w:sz w:val="14"/>
                                      <w:szCs w:val="16"/>
                                    </w:rPr>
                                  </w:pPr>
                                  <w:bookmarkStart w:id="9" w:name="RANGE!S158"/>
                                  <w:r w:rsidRPr="009700B0">
                                    <w:rPr>
                                      <w:rFonts w:eastAsia="SimSun"/>
                                      <w:color w:val="000000"/>
                                      <w:sz w:val="14"/>
                                      <w:szCs w:val="16"/>
                                    </w:rPr>
                                    <w:t>A7-2a</w:t>
                                  </w:r>
                                  <w:bookmarkEnd w:id="9"/>
                                </w:p>
                              </w:tc>
                              <w:tc>
                                <w:tcPr>
                                  <w:tcW w:w="0" w:type="auto"/>
                                  <w:tcBorders>
                                    <w:top w:val="nil"/>
                                    <w:left w:val="nil"/>
                                    <w:bottom w:val="single" w:sz="4" w:space="0" w:color="auto"/>
                                    <w:right w:val="single" w:sz="4" w:space="0" w:color="auto"/>
                                  </w:tcBorders>
                                  <w:shd w:val="clear" w:color="auto" w:fill="auto"/>
                                  <w:vAlign w:val="center"/>
                                  <w:hideMark/>
                                </w:tcPr>
                                <w:p w14:paraId="4A09864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Longitudinal position uncertainty (i.e. standing wave and imperfect field synthesis) for BS antenna</w:t>
                                  </w:r>
                                </w:p>
                              </w:tc>
                            </w:tr>
                            <w:tr w:rsidR="009700B0" w:rsidRPr="009700B0" w14:paraId="3995AC76"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DE1FB"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66933CF0"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leakage (calibration antenna connector terminated)</w:t>
                                  </w:r>
                                </w:p>
                              </w:tc>
                            </w:tr>
                            <w:tr w:rsidR="009700B0" w:rsidRPr="009700B0" w14:paraId="40F44E82"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60C93"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A7-4a</w:t>
                                  </w:r>
                                </w:p>
                              </w:tc>
                              <w:tc>
                                <w:tcPr>
                                  <w:tcW w:w="0" w:type="auto"/>
                                  <w:tcBorders>
                                    <w:top w:val="nil"/>
                                    <w:left w:val="nil"/>
                                    <w:bottom w:val="single" w:sz="4" w:space="0" w:color="auto"/>
                                    <w:right w:val="single" w:sz="4" w:space="0" w:color="auto"/>
                                  </w:tcBorders>
                                  <w:shd w:val="clear" w:color="auto" w:fill="auto"/>
                                  <w:vAlign w:val="center"/>
                                  <w:hideMark/>
                                </w:tcPr>
                                <w:p w14:paraId="091D37DA"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QZ ripple with BS</w:t>
                                  </w:r>
                                </w:p>
                              </w:tc>
                            </w:tr>
                            <w:tr w:rsidR="009700B0" w:rsidRPr="009700B0" w14:paraId="0E5AADC0"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74A06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A7-5</w:t>
                                  </w:r>
                                </w:p>
                              </w:tc>
                              <w:tc>
                                <w:tcPr>
                                  <w:tcW w:w="0" w:type="auto"/>
                                  <w:tcBorders>
                                    <w:top w:val="nil"/>
                                    <w:left w:val="nil"/>
                                    <w:bottom w:val="single" w:sz="4" w:space="0" w:color="auto"/>
                                    <w:right w:val="single" w:sz="4" w:space="0" w:color="auto"/>
                                  </w:tcBorders>
                                  <w:shd w:val="clear" w:color="auto" w:fill="auto"/>
                                  <w:vAlign w:val="center"/>
                                  <w:hideMark/>
                                </w:tcPr>
                                <w:p w14:paraId="503B4F36"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Miscellaneous Uncertainty</w:t>
                                  </w:r>
                                </w:p>
                              </w:tc>
                            </w:tr>
                            <w:tr w:rsidR="009700B0" w:rsidRPr="009700B0" w14:paraId="0FD3B308" w14:textId="77777777" w:rsidTr="009700B0">
                              <w:trPr>
                                <w:trHeight w:val="1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C85E24" w14:textId="77777777" w:rsidR="009700B0" w:rsidRPr="00FA329D" w:rsidRDefault="009700B0" w:rsidP="009700B0">
                                  <w:pPr>
                                    <w:spacing w:after="0" w:line="240" w:lineRule="auto"/>
                                    <w:jc w:val="center"/>
                                    <w:rPr>
                                      <w:rFonts w:eastAsia="SimSun"/>
                                      <w:color w:val="000000"/>
                                      <w:sz w:val="14"/>
                                      <w:szCs w:val="16"/>
                                      <w:highlight w:val="yellow"/>
                                    </w:rPr>
                                  </w:pPr>
                                  <w:r w:rsidRPr="00FA329D">
                                    <w:rPr>
                                      <w:rFonts w:eastAsia="SimSun"/>
                                      <w:color w:val="000000"/>
                                      <w:sz w:val="14"/>
                                      <w:szCs w:val="16"/>
                                      <w:highlight w:val="yellow"/>
                                    </w:rPr>
                                    <w:t>A7-14</w:t>
                                  </w:r>
                                </w:p>
                              </w:tc>
                              <w:tc>
                                <w:tcPr>
                                  <w:tcW w:w="0" w:type="auto"/>
                                  <w:tcBorders>
                                    <w:top w:val="nil"/>
                                    <w:left w:val="nil"/>
                                    <w:bottom w:val="single" w:sz="4" w:space="0" w:color="auto"/>
                                    <w:right w:val="single" w:sz="4" w:space="0" w:color="auto"/>
                                  </w:tcBorders>
                                  <w:shd w:val="clear" w:color="auto" w:fill="auto"/>
                                  <w:vAlign w:val="center"/>
                                  <w:hideMark/>
                                </w:tcPr>
                                <w:p w14:paraId="6CD0582D" w14:textId="77777777" w:rsidR="009700B0" w:rsidRPr="00FA329D" w:rsidRDefault="009700B0" w:rsidP="009700B0">
                                  <w:pPr>
                                    <w:spacing w:after="0" w:line="240" w:lineRule="auto"/>
                                    <w:rPr>
                                      <w:rFonts w:eastAsia="SimSun"/>
                                      <w:color w:val="000000"/>
                                      <w:sz w:val="14"/>
                                      <w:szCs w:val="16"/>
                                      <w:highlight w:val="yellow"/>
                                    </w:rPr>
                                  </w:pPr>
                                  <w:r w:rsidRPr="00FA329D">
                                    <w:rPr>
                                      <w:rFonts w:eastAsia="SimSun"/>
                                      <w:color w:val="000000"/>
                                      <w:sz w:val="14"/>
                                      <w:szCs w:val="16"/>
                                      <w:highlight w:val="yellow"/>
                                    </w:rPr>
                                    <w:t>System non-linearity</w:t>
                                  </w:r>
                                </w:p>
                              </w:tc>
                            </w:tr>
                            <w:tr w:rsidR="009700B0" w:rsidRPr="009700B0" w14:paraId="03223AD4"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7F6F9"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A7-13</w:t>
                                  </w:r>
                                </w:p>
                              </w:tc>
                              <w:tc>
                                <w:tcPr>
                                  <w:tcW w:w="0" w:type="auto"/>
                                  <w:tcBorders>
                                    <w:top w:val="nil"/>
                                    <w:left w:val="nil"/>
                                    <w:bottom w:val="single" w:sz="4" w:space="0" w:color="auto"/>
                                    <w:right w:val="single" w:sz="4" w:space="0" w:color="auto"/>
                                  </w:tcBorders>
                                  <w:shd w:val="clear" w:color="auto" w:fill="auto"/>
                                  <w:vAlign w:val="center"/>
                                  <w:hideMark/>
                                </w:tcPr>
                                <w:p w14:paraId="461A89B8"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Frequency Flatness</w:t>
                                  </w:r>
                                </w:p>
                              </w:tc>
                            </w:tr>
                            <w:tr w:rsidR="009700B0" w:rsidRPr="009700B0" w14:paraId="147B38F1" w14:textId="77777777" w:rsidTr="009700B0">
                              <w:trPr>
                                <w:trHeight w:val="177"/>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3378878"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Stage 1: Calibration measurement</w:t>
                                  </w:r>
                                </w:p>
                              </w:tc>
                            </w:tr>
                            <w:tr w:rsidR="009700B0" w:rsidRPr="009700B0" w14:paraId="539F5709" w14:textId="77777777" w:rsidTr="009700B0">
                              <w:trPr>
                                <w:trHeight w:val="16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443BC2"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C1-3</w:t>
                                  </w:r>
                                </w:p>
                              </w:tc>
                              <w:tc>
                                <w:tcPr>
                                  <w:tcW w:w="0" w:type="auto"/>
                                  <w:tcBorders>
                                    <w:top w:val="nil"/>
                                    <w:left w:val="nil"/>
                                    <w:bottom w:val="single" w:sz="4" w:space="0" w:color="auto"/>
                                    <w:right w:val="single" w:sz="4" w:space="0" w:color="auto"/>
                                  </w:tcBorders>
                                  <w:shd w:val="clear" w:color="auto" w:fill="auto"/>
                                  <w:vAlign w:val="center"/>
                                  <w:hideMark/>
                                </w:tcPr>
                                <w:p w14:paraId="12B562E3"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Uncertainty of the network analyzer</w:t>
                                  </w:r>
                                </w:p>
                              </w:tc>
                            </w:tr>
                            <w:tr w:rsidR="009700B0" w:rsidRPr="009700B0" w14:paraId="26366B1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AD36E"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A7-6</w:t>
                                  </w:r>
                                </w:p>
                              </w:tc>
                              <w:tc>
                                <w:tcPr>
                                  <w:tcW w:w="0" w:type="auto"/>
                                  <w:tcBorders>
                                    <w:top w:val="nil"/>
                                    <w:left w:val="nil"/>
                                    <w:bottom w:val="single" w:sz="4" w:space="0" w:color="auto"/>
                                    <w:right w:val="single" w:sz="4" w:space="0" w:color="auto"/>
                                  </w:tcBorders>
                                  <w:shd w:val="clear" w:color="auto" w:fill="auto"/>
                                  <w:vAlign w:val="center"/>
                                  <w:hideMark/>
                                </w:tcPr>
                                <w:p w14:paraId="3FEDF0A9"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Mismatch (i.e. reference antenna, network analyser and reference cable)</w:t>
                                  </w:r>
                                </w:p>
                              </w:tc>
                            </w:tr>
                            <w:tr w:rsidR="009700B0" w:rsidRPr="009700B0" w14:paraId="18ADE34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B7608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A7-7</w:t>
                                  </w:r>
                                </w:p>
                              </w:tc>
                              <w:tc>
                                <w:tcPr>
                                  <w:tcW w:w="0" w:type="auto"/>
                                  <w:tcBorders>
                                    <w:top w:val="nil"/>
                                    <w:left w:val="nil"/>
                                    <w:bottom w:val="single" w:sz="4" w:space="0" w:color="auto"/>
                                    <w:right w:val="single" w:sz="4" w:space="0" w:color="auto"/>
                                  </w:tcBorders>
                                  <w:shd w:val="clear" w:color="auto" w:fill="auto"/>
                                  <w:vAlign w:val="center"/>
                                  <w:hideMark/>
                                </w:tcPr>
                                <w:p w14:paraId="65FF92C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 xml:space="preserve">Insertion loss variation </w:t>
                                  </w:r>
                                </w:p>
                              </w:tc>
                            </w:tr>
                            <w:tr w:rsidR="009700B0" w:rsidRPr="009700B0" w14:paraId="450DBFAE"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F533F2"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16D6AF3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leakage (calibration antenna connector terminated)</w:t>
                                  </w:r>
                                </w:p>
                              </w:tc>
                            </w:tr>
                            <w:tr w:rsidR="009700B0" w:rsidRPr="009700B0" w14:paraId="52703EEC"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F4E1A"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A7-8</w:t>
                                  </w:r>
                                </w:p>
                              </w:tc>
                              <w:tc>
                                <w:tcPr>
                                  <w:tcW w:w="0" w:type="auto"/>
                                  <w:tcBorders>
                                    <w:top w:val="nil"/>
                                    <w:left w:val="nil"/>
                                    <w:bottom w:val="single" w:sz="4" w:space="0" w:color="auto"/>
                                    <w:right w:val="single" w:sz="4" w:space="0" w:color="auto"/>
                                  </w:tcBorders>
                                  <w:shd w:val="clear" w:color="auto" w:fill="auto"/>
                                  <w:vAlign w:val="center"/>
                                  <w:hideMark/>
                                </w:tcPr>
                                <w:p w14:paraId="1DE417C2"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Influence of the calibration antenna feed cable</w:t>
                                  </w:r>
                                </w:p>
                              </w:tc>
                            </w:tr>
                            <w:tr w:rsidR="009700B0" w:rsidRPr="009700B0" w14:paraId="4C75D17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ACE95"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C1-4</w:t>
                                  </w:r>
                                </w:p>
                              </w:tc>
                              <w:tc>
                                <w:tcPr>
                                  <w:tcW w:w="0" w:type="auto"/>
                                  <w:tcBorders>
                                    <w:top w:val="nil"/>
                                    <w:left w:val="nil"/>
                                    <w:bottom w:val="single" w:sz="4" w:space="0" w:color="auto"/>
                                    <w:right w:val="single" w:sz="4" w:space="0" w:color="auto"/>
                                  </w:tcBorders>
                                  <w:shd w:val="clear" w:color="auto" w:fill="auto"/>
                                  <w:vAlign w:val="center"/>
                                  <w:hideMark/>
                                </w:tcPr>
                                <w:p w14:paraId="004404B9"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Uncertainty of the absolute gain of the reference antenna</w:t>
                                  </w:r>
                                </w:p>
                              </w:tc>
                            </w:tr>
                            <w:tr w:rsidR="009700B0" w:rsidRPr="009700B0" w14:paraId="34E4A507"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F1E58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A7-9</w:t>
                                  </w:r>
                                </w:p>
                              </w:tc>
                              <w:tc>
                                <w:tcPr>
                                  <w:tcW w:w="0" w:type="auto"/>
                                  <w:tcBorders>
                                    <w:top w:val="nil"/>
                                    <w:left w:val="nil"/>
                                    <w:bottom w:val="single" w:sz="4" w:space="0" w:color="auto"/>
                                    <w:right w:val="single" w:sz="4" w:space="0" w:color="auto"/>
                                  </w:tcBorders>
                                  <w:shd w:val="clear" w:color="auto" w:fill="auto"/>
                                  <w:vAlign w:val="center"/>
                                  <w:hideMark/>
                                </w:tcPr>
                                <w:p w14:paraId="00FE3FDD"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of positioning system</w:t>
                                  </w:r>
                                </w:p>
                              </w:tc>
                            </w:tr>
                            <w:tr w:rsidR="009700B0" w:rsidRPr="009700B0" w14:paraId="79B58D03"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9BC9A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A7-1b</w:t>
                                  </w:r>
                                </w:p>
                              </w:tc>
                              <w:tc>
                                <w:tcPr>
                                  <w:tcW w:w="0" w:type="auto"/>
                                  <w:tcBorders>
                                    <w:top w:val="nil"/>
                                    <w:left w:val="nil"/>
                                    <w:bottom w:val="single" w:sz="4" w:space="0" w:color="auto"/>
                                    <w:right w:val="single" w:sz="4" w:space="0" w:color="auto"/>
                                  </w:tcBorders>
                                  <w:shd w:val="clear" w:color="auto" w:fill="auto"/>
                                  <w:vAlign w:val="center"/>
                                  <w:hideMark/>
                                </w:tcPr>
                                <w:p w14:paraId="6D949F70"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of calibration antenna &amp; pointing error</w:t>
                                  </w:r>
                                </w:p>
                              </w:tc>
                            </w:tr>
                            <w:tr w:rsidR="009700B0" w:rsidRPr="009700B0" w14:paraId="16F77DC0"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F99B6"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A7-10</w:t>
                                  </w:r>
                                </w:p>
                              </w:tc>
                              <w:tc>
                                <w:tcPr>
                                  <w:tcW w:w="0" w:type="auto"/>
                                  <w:tcBorders>
                                    <w:top w:val="nil"/>
                                    <w:left w:val="nil"/>
                                    <w:bottom w:val="single" w:sz="4" w:space="0" w:color="auto"/>
                                    <w:right w:val="single" w:sz="4" w:space="0" w:color="auto"/>
                                  </w:tcBorders>
                                  <w:shd w:val="clear" w:color="auto" w:fill="auto"/>
                                  <w:vAlign w:val="center"/>
                                  <w:hideMark/>
                                </w:tcPr>
                                <w:p w14:paraId="36E8AB1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Rotary joints</w:t>
                                  </w:r>
                                </w:p>
                              </w:tc>
                            </w:tr>
                            <w:tr w:rsidR="009700B0" w:rsidRPr="009700B0" w14:paraId="3B4F9103" w14:textId="77777777" w:rsidTr="009700B0">
                              <w:trPr>
                                <w:trHeight w:val="28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FE8A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A7-2b</w:t>
                                  </w:r>
                                </w:p>
                              </w:tc>
                              <w:tc>
                                <w:tcPr>
                                  <w:tcW w:w="0" w:type="auto"/>
                                  <w:tcBorders>
                                    <w:top w:val="nil"/>
                                    <w:left w:val="nil"/>
                                    <w:bottom w:val="single" w:sz="4" w:space="0" w:color="auto"/>
                                    <w:right w:val="single" w:sz="4" w:space="0" w:color="auto"/>
                                  </w:tcBorders>
                                  <w:shd w:val="clear" w:color="auto" w:fill="auto"/>
                                  <w:vAlign w:val="center"/>
                                  <w:hideMark/>
                                </w:tcPr>
                                <w:p w14:paraId="24ADD19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Longitudinal position uncertainty (i.e. standing wave and imperfect field synthesis) for calibration antenna</w:t>
                                  </w:r>
                                </w:p>
                              </w:tc>
                            </w:tr>
                            <w:tr w:rsidR="009700B0" w:rsidRPr="009700B0" w14:paraId="2E4976BB"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7AE82B"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A7-4a</w:t>
                                  </w:r>
                                </w:p>
                              </w:tc>
                              <w:tc>
                                <w:tcPr>
                                  <w:tcW w:w="0" w:type="auto"/>
                                  <w:tcBorders>
                                    <w:top w:val="nil"/>
                                    <w:left w:val="nil"/>
                                    <w:bottom w:val="single" w:sz="4" w:space="0" w:color="auto"/>
                                    <w:right w:val="single" w:sz="4" w:space="0" w:color="auto"/>
                                  </w:tcBorders>
                                  <w:shd w:val="clear" w:color="auto" w:fill="auto"/>
                                  <w:vAlign w:val="center"/>
                                  <w:hideMark/>
                                </w:tcPr>
                                <w:p w14:paraId="6429AFC8"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QZ ripple with calibration antenna</w:t>
                                  </w:r>
                                </w:p>
                              </w:tc>
                            </w:tr>
                            <w:tr w:rsidR="009700B0" w:rsidRPr="009700B0" w14:paraId="27247DB8"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CAD1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A7-11</w:t>
                                  </w:r>
                                </w:p>
                              </w:tc>
                              <w:tc>
                                <w:tcPr>
                                  <w:tcW w:w="0" w:type="auto"/>
                                  <w:tcBorders>
                                    <w:top w:val="nil"/>
                                    <w:left w:val="nil"/>
                                    <w:bottom w:val="single" w:sz="4" w:space="0" w:color="auto"/>
                                    <w:right w:val="single" w:sz="4" w:space="0" w:color="auto"/>
                                  </w:tcBorders>
                                  <w:shd w:val="clear" w:color="auto" w:fill="auto"/>
                                  <w:vAlign w:val="center"/>
                                  <w:hideMark/>
                                </w:tcPr>
                                <w:p w14:paraId="2568237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Switching uncertainty</w:t>
                                  </w:r>
                                </w:p>
                              </w:tc>
                            </w:tr>
                            <w:tr w:rsidR="009700B0" w:rsidRPr="009700B0" w14:paraId="5714C52C"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F7C34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A7-12</w:t>
                                  </w:r>
                                </w:p>
                              </w:tc>
                              <w:tc>
                                <w:tcPr>
                                  <w:tcW w:w="0" w:type="auto"/>
                                  <w:tcBorders>
                                    <w:top w:val="nil"/>
                                    <w:left w:val="nil"/>
                                    <w:bottom w:val="single" w:sz="4" w:space="0" w:color="auto"/>
                                    <w:right w:val="single" w:sz="4" w:space="0" w:color="auto"/>
                                  </w:tcBorders>
                                  <w:shd w:val="clear" w:color="auto" w:fill="auto"/>
                                  <w:vAlign w:val="center"/>
                                  <w:hideMark/>
                                </w:tcPr>
                                <w:p w14:paraId="650A4C0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Field repeatability</w:t>
                                  </w:r>
                                </w:p>
                              </w:tc>
                            </w:tr>
                          </w:tbl>
                          <w:p w14:paraId="71E07D3F" w14:textId="77777777" w:rsidR="009700B0" w:rsidRPr="009700B0" w:rsidRDefault="009700B0" w:rsidP="001269B5">
                            <w:pPr>
                              <w:rPr>
                                <w:sz w:val="20"/>
                              </w:rPr>
                            </w:pPr>
                          </w:p>
                        </w:txbxContent>
                      </wps:txbx>
                      <wps:bodyPr rot="0" vert="horz" wrap="square" lIns="91440" tIns="45720" rIns="91440" bIns="45720" anchor="t" anchorCtr="0">
                        <a:spAutoFit/>
                      </wps:bodyPr>
                    </wps:wsp>
                  </a:graphicData>
                </a:graphic>
              </wp:inline>
            </w:drawing>
          </mc:Choice>
          <mc:Fallback>
            <w:pict>
              <v:shapetype w14:anchorId="63965172" id="_x0000_t202" coordsize="21600,21600" o:spt="202" path="m,l,21600r21600,l21600,xe">
                <v:stroke joinstyle="miter"/>
                <v:path gradientshapeok="t" o:connecttype="rect"/>
              </v:shapetype>
              <v:shape id="Text Box 2" o:spid="_x0000_s1026" type="#_x0000_t202" style="width:46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Na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Il/O31L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">
                <v:textbox style="mso-fit-shape-to-text:t">
                  <w:txbxContent>
                    <w:p w14:paraId="44CA4AF2" w14:textId="77777777" w:rsidR="009700B0" w:rsidRPr="009700B0" w:rsidRDefault="009700B0" w:rsidP="009700B0">
                      <w:pPr>
                        <w:keepNext/>
                        <w:keepLines/>
                        <w:spacing w:before="120" w:after="180" w:line="240" w:lineRule="auto"/>
                        <w:outlineLvl w:val="3"/>
                        <w:rPr>
                          <w:rFonts w:eastAsia="DengXian" w:cs="Times New Roman"/>
                          <w:szCs w:val="20"/>
                          <w:lang w:val="en-GB" w:eastAsia="en-US"/>
                        </w:rPr>
                      </w:pPr>
                      <w:bookmarkStart w:id="10" w:name="_Toc21086253"/>
                      <w:bookmarkStart w:id="11" w:name="_Toc29768690"/>
                      <w:bookmarkStart w:id="12" w:name="_Toc32332070"/>
                      <w:bookmarkStart w:id="13" w:name="_Toc37429985"/>
                      <w:bookmarkStart w:id="14" w:name="_Toc43739059"/>
                      <w:bookmarkStart w:id="15" w:name="_Toc46346820"/>
                      <w:r w:rsidRPr="009700B0">
                        <w:rPr>
                          <w:rFonts w:eastAsia="DengXian" w:cs="Times New Roman"/>
                          <w:szCs w:val="20"/>
                          <w:lang w:val="en-GB" w:eastAsia="en-US"/>
                        </w:rPr>
                        <w:t>9.2.6.3</w:t>
                      </w:r>
                      <w:r w:rsidRPr="009700B0">
                        <w:rPr>
                          <w:rFonts w:eastAsia="DengXian" w:cs="Times New Roman"/>
                          <w:szCs w:val="20"/>
                          <w:lang w:val="en-GB" w:eastAsia="en-US"/>
                        </w:rPr>
                        <w:tab/>
                        <w:t>MU value</w:t>
                      </w:r>
                      <w:bookmarkEnd w:id="10"/>
                      <w:bookmarkEnd w:id="11"/>
                      <w:r w:rsidRPr="009700B0">
                        <w:rPr>
                          <w:rFonts w:eastAsia="DengXian" w:cs="Times New Roman"/>
                          <w:szCs w:val="20"/>
                          <w:lang w:val="en-GB" w:eastAsia="en-US"/>
                        </w:rPr>
                        <w:t xml:space="preserve"> derivation, FR1</w:t>
                      </w:r>
                      <w:bookmarkEnd w:id="12"/>
                      <w:bookmarkEnd w:id="13"/>
                      <w:bookmarkEnd w:id="14"/>
                      <w:bookmarkEnd w:id="15"/>
                    </w:p>
                    <w:p w14:paraId="1FAA08F9" w14:textId="77777777" w:rsidR="009700B0" w:rsidRPr="009700B0" w:rsidRDefault="009700B0" w:rsidP="009700B0">
                      <w:pPr>
                        <w:spacing w:after="180" w:line="240" w:lineRule="auto"/>
                        <w:rPr>
                          <w:rFonts w:ascii="Times New Roman" w:eastAsia="DengXian" w:hAnsi="Times New Roman" w:cs="Times New Roman"/>
                          <w:sz w:val="18"/>
                          <w:szCs w:val="20"/>
                          <w:lang w:val="en-GB" w:eastAsia="en-US"/>
                        </w:rPr>
                      </w:pPr>
                      <w:r w:rsidRPr="009700B0">
                        <w:rPr>
                          <w:rFonts w:ascii="Times New Roman" w:eastAsia="DengXian" w:hAnsi="Times New Roman" w:cs="Times New Roman"/>
                          <w:sz w:val="18"/>
                          <w:szCs w:val="20"/>
                          <w:lang w:val="en-GB" w:eastAsia="sv-SE"/>
                        </w:rPr>
                        <w:t xml:space="preserve">Table </w:t>
                      </w:r>
                      <w:r w:rsidRPr="009700B0">
                        <w:rPr>
                          <w:rFonts w:ascii="Times New Roman" w:eastAsia="DengXian" w:hAnsi="Times New Roman" w:cs="Times New Roman"/>
                          <w:sz w:val="18"/>
                          <w:szCs w:val="20"/>
                          <w:lang w:val="en-GB" w:eastAsia="en-US"/>
                        </w:rPr>
                        <w:t xml:space="preserve">9.2.6.3-1 captures the uncertainty budget contributors and table 9.2.6.3-2 captures the derivation of the expanded measurement uncertainty values for EIRP accuracy measurements in </w:t>
                      </w:r>
                      <w:r w:rsidRPr="009700B0">
                        <w:rPr>
                          <w:rFonts w:ascii="Times New Roman" w:eastAsia="DengXian" w:hAnsi="Times New Roman" w:cs="Times New Roman"/>
                          <w:sz w:val="18"/>
                          <w:szCs w:val="20"/>
                          <w:lang w:eastAsia="en-US"/>
                        </w:rPr>
                        <w:t>PWS</w:t>
                      </w:r>
                      <w:r w:rsidRPr="009700B0">
                        <w:rPr>
                          <w:rFonts w:ascii="Times New Roman" w:eastAsia="DengXian" w:hAnsi="Times New Roman" w:cs="Times New Roman"/>
                          <w:sz w:val="18"/>
                          <w:szCs w:val="20"/>
                          <w:lang w:val="en-GB" w:eastAsia="en-US"/>
                        </w:rPr>
                        <w:t>.</w:t>
                      </w:r>
                    </w:p>
                    <w:p w14:paraId="5926F0E0" w14:textId="77777777" w:rsidR="009700B0" w:rsidRPr="009700B0" w:rsidRDefault="009700B0" w:rsidP="009700B0">
                      <w:pPr>
                        <w:keepNext/>
                        <w:keepLines/>
                        <w:spacing w:before="60" w:after="180" w:line="240" w:lineRule="auto"/>
                        <w:jc w:val="center"/>
                        <w:rPr>
                          <w:rFonts w:eastAsia="DengXian" w:cs="Times New Roman"/>
                          <w:b/>
                          <w:sz w:val="18"/>
                          <w:szCs w:val="20"/>
                          <w:lang w:val="en-GB" w:eastAsia="en-US"/>
                        </w:rPr>
                      </w:pPr>
                      <w:r w:rsidRPr="009700B0">
                        <w:rPr>
                          <w:rFonts w:eastAsia="DengXian" w:cs="Times New Roman"/>
                          <w:b/>
                          <w:sz w:val="18"/>
                          <w:szCs w:val="20"/>
                          <w:lang w:val="en-GB" w:eastAsia="en-US"/>
                        </w:rPr>
                        <w:t xml:space="preserve">Table 9.2.6.3-1: PWS </w:t>
                      </w:r>
                      <w:r w:rsidRPr="009700B0">
                        <w:rPr>
                          <w:rFonts w:eastAsia="DengXian" w:cs="Times New Roman"/>
                          <w:b/>
                          <w:sz w:val="18"/>
                          <w:szCs w:val="20"/>
                          <w:lang w:val="en-GB" w:eastAsia="sv-SE"/>
                        </w:rPr>
                        <w:t>measurement</w:t>
                      </w:r>
                      <w:r w:rsidRPr="009700B0">
                        <w:rPr>
                          <w:rFonts w:eastAsia="DengXian" w:cs="Times New Roman"/>
                          <w:b/>
                          <w:sz w:val="18"/>
                          <w:szCs w:val="20"/>
                          <w:lang w:val="en-GB" w:eastAsia="en-US"/>
                        </w:rPr>
                        <w:t xml:space="preserve"> accuracy contributors</w:t>
                      </w:r>
                      <w:r w:rsidRPr="009700B0">
                        <w:rPr>
                          <w:rFonts w:eastAsia="DengXian" w:cs="Times New Roman"/>
                          <w:b/>
                          <w:sz w:val="18"/>
                          <w:szCs w:val="20"/>
                          <w:lang w:val="en-GB" w:eastAsia="sv-SE"/>
                        </w:rPr>
                        <w:t xml:space="preserve"> for</w:t>
                      </w:r>
                      <w:r w:rsidRPr="009700B0">
                        <w:rPr>
                          <w:rFonts w:eastAsia="DengXian" w:cs="Times New Roman"/>
                          <w:b/>
                          <w:sz w:val="18"/>
                          <w:szCs w:val="20"/>
                          <w:lang w:val="en-GB" w:eastAsia="en-US"/>
                        </w:rPr>
                        <w:t xml:space="preserve"> EIRP </w:t>
                      </w:r>
                      <w:r w:rsidRPr="009700B0">
                        <w:rPr>
                          <w:rFonts w:eastAsia="DengXian" w:cs="Times New Roman"/>
                          <w:b/>
                          <w:sz w:val="18"/>
                          <w:szCs w:val="20"/>
                          <w:lang w:val="en-GB" w:eastAsia="sv-SE"/>
                        </w:rPr>
                        <w:t xml:space="preserve">accuracy </w:t>
                      </w:r>
                      <w:r w:rsidRPr="009700B0">
                        <w:rPr>
                          <w:rFonts w:eastAsia="DengXian" w:cs="Times New Roman"/>
                          <w:b/>
                          <w:sz w:val="18"/>
                          <w:szCs w:val="20"/>
                          <w:lang w:val="en-GB" w:eastAsia="en-US"/>
                        </w:rPr>
                        <w:t>measurements, FR1</w:t>
                      </w:r>
                    </w:p>
                    <w:tbl>
                      <w:tblPr>
                        <w:tblW w:w="0" w:type="auto"/>
                        <w:jc w:val="center"/>
                        <w:tblLook w:val="04A0" w:firstRow="1" w:lastRow="0" w:firstColumn="1" w:lastColumn="0" w:noHBand="0" w:noVBand="1"/>
                      </w:tblPr>
                      <w:tblGrid>
                        <w:gridCol w:w="1640"/>
                        <w:gridCol w:w="6699"/>
                      </w:tblGrid>
                      <w:tr w:rsidR="009700B0" w:rsidRPr="009700B0" w14:paraId="7FEC3CA6" w14:textId="77777777" w:rsidTr="009700B0">
                        <w:trPr>
                          <w:trHeight w:val="28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F3B8F6"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0B8B50"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Uncertainty source</w:t>
                            </w:r>
                          </w:p>
                        </w:tc>
                      </w:tr>
                      <w:tr w:rsidR="009700B0" w:rsidRPr="009700B0" w14:paraId="3177252B" w14:textId="77777777" w:rsidTr="009700B0">
                        <w:trPr>
                          <w:trHeight w:val="186"/>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4DF9C2D"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Stage 2: BS measurement</w:t>
                            </w:r>
                          </w:p>
                        </w:tc>
                      </w:tr>
                      <w:tr w:rsidR="009700B0" w:rsidRPr="009700B0" w14:paraId="18ED5C98"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9ACA7"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A7-1a</w:t>
                            </w:r>
                          </w:p>
                        </w:tc>
                        <w:tc>
                          <w:tcPr>
                            <w:tcW w:w="0" w:type="auto"/>
                            <w:tcBorders>
                              <w:top w:val="nil"/>
                              <w:left w:val="nil"/>
                              <w:bottom w:val="single" w:sz="4" w:space="0" w:color="auto"/>
                              <w:right w:val="single" w:sz="4" w:space="0" w:color="auto"/>
                            </w:tcBorders>
                            <w:shd w:val="clear" w:color="auto" w:fill="auto"/>
                            <w:vAlign w:val="center"/>
                            <w:hideMark/>
                          </w:tcPr>
                          <w:p w14:paraId="33C147D4"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BS &amp; pointing error</w:t>
                            </w:r>
                          </w:p>
                        </w:tc>
                      </w:tr>
                      <w:tr w:rsidR="009700B0" w:rsidRPr="009700B0" w14:paraId="0940F0FE"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05FF1F"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C1-1</w:t>
                            </w:r>
                          </w:p>
                        </w:tc>
                        <w:tc>
                          <w:tcPr>
                            <w:tcW w:w="0" w:type="auto"/>
                            <w:tcBorders>
                              <w:top w:val="nil"/>
                              <w:left w:val="nil"/>
                              <w:bottom w:val="single" w:sz="4" w:space="0" w:color="auto"/>
                              <w:right w:val="single" w:sz="4" w:space="0" w:color="auto"/>
                            </w:tcBorders>
                            <w:shd w:val="clear" w:color="auto" w:fill="auto"/>
                            <w:vAlign w:val="center"/>
                            <w:hideMark/>
                          </w:tcPr>
                          <w:p w14:paraId="3219222D"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power measurement equipment (e.g. spectrum analyzer, power meter)</w:t>
                            </w:r>
                          </w:p>
                        </w:tc>
                      </w:tr>
                      <w:tr w:rsidR="009700B0" w:rsidRPr="009700B0" w14:paraId="6A72734B"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9EF2E" w14:textId="77777777" w:rsidR="009700B0" w:rsidRPr="009700B0" w:rsidRDefault="009700B0" w:rsidP="009700B0">
                            <w:pPr>
                              <w:spacing w:after="0" w:line="240" w:lineRule="auto"/>
                              <w:jc w:val="center"/>
                              <w:rPr>
                                <w:rFonts w:eastAsia="SimSun"/>
                                <w:color w:val="000000"/>
                                <w:sz w:val="14"/>
                                <w:szCs w:val="16"/>
                              </w:rPr>
                            </w:pPr>
                            <w:bookmarkStart w:id="16" w:name="RANGE!S158"/>
                            <w:r w:rsidRPr="009700B0">
                              <w:rPr>
                                <w:rFonts w:eastAsia="SimSun"/>
                                <w:color w:val="000000"/>
                                <w:sz w:val="14"/>
                                <w:szCs w:val="16"/>
                              </w:rPr>
                              <w:t>A7-2a</w:t>
                            </w:r>
                            <w:bookmarkEnd w:id="16"/>
                          </w:p>
                        </w:tc>
                        <w:tc>
                          <w:tcPr>
                            <w:tcW w:w="0" w:type="auto"/>
                            <w:tcBorders>
                              <w:top w:val="nil"/>
                              <w:left w:val="nil"/>
                              <w:bottom w:val="single" w:sz="4" w:space="0" w:color="auto"/>
                              <w:right w:val="single" w:sz="4" w:space="0" w:color="auto"/>
                            </w:tcBorders>
                            <w:shd w:val="clear" w:color="auto" w:fill="auto"/>
                            <w:vAlign w:val="center"/>
                            <w:hideMark/>
                          </w:tcPr>
                          <w:p w14:paraId="4A09864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Longitudinal position uncertainty (i.e. standing wave and imperfect field synthesis) for BS antenna</w:t>
                            </w:r>
                          </w:p>
                        </w:tc>
                      </w:tr>
                      <w:tr w:rsidR="009700B0" w:rsidRPr="009700B0" w14:paraId="3995AC76"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DE1FB"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66933CF0"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leakage (calibration antenna connector terminated)</w:t>
                            </w:r>
                          </w:p>
                        </w:tc>
                      </w:tr>
                      <w:tr w:rsidR="009700B0" w:rsidRPr="009700B0" w14:paraId="40F44E82"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60C93"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A7-4a</w:t>
                            </w:r>
                          </w:p>
                        </w:tc>
                        <w:tc>
                          <w:tcPr>
                            <w:tcW w:w="0" w:type="auto"/>
                            <w:tcBorders>
                              <w:top w:val="nil"/>
                              <w:left w:val="nil"/>
                              <w:bottom w:val="single" w:sz="4" w:space="0" w:color="auto"/>
                              <w:right w:val="single" w:sz="4" w:space="0" w:color="auto"/>
                            </w:tcBorders>
                            <w:shd w:val="clear" w:color="auto" w:fill="auto"/>
                            <w:vAlign w:val="center"/>
                            <w:hideMark/>
                          </w:tcPr>
                          <w:p w14:paraId="091D37DA"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QZ ripple with BS</w:t>
                            </w:r>
                          </w:p>
                        </w:tc>
                      </w:tr>
                      <w:tr w:rsidR="009700B0" w:rsidRPr="009700B0" w14:paraId="0E5AADC0"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74A06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A7-5</w:t>
                            </w:r>
                          </w:p>
                        </w:tc>
                        <w:tc>
                          <w:tcPr>
                            <w:tcW w:w="0" w:type="auto"/>
                            <w:tcBorders>
                              <w:top w:val="nil"/>
                              <w:left w:val="nil"/>
                              <w:bottom w:val="single" w:sz="4" w:space="0" w:color="auto"/>
                              <w:right w:val="single" w:sz="4" w:space="0" w:color="auto"/>
                            </w:tcBorders>
                            <w:shd w:val="clear" w:color="auto" w:fill="auto"/>
                            <w:vAlign w:val="center"/>
                            <w:hideMark/>
                          </w:tcPr>
                          <w:p w14:paraId="503B4F36"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Miscellaneous Uncertainty</w:t>
                            </w:r>
                          </w:p>
                        </w:tc>
                      </w:tr>
                      <w:tr w:rsidR="009700B0" w:rsidRPr="009700B0" w14:paraId="0FD3B308" w14:textId="77777777" w:rsidTr="009700B0">
                        <w:trPr>
                          <w:trHeight w:val="1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C85E24" w14:textId="77777777" w:rsidR="009700B0" w:rsidRPr="00FA329D" w:rsidRDefault="009700B0" w:rsidP="009700B0">
                            <w:pPr>
                              <w:spacing w:after="0" w:line="240" w:lineRule="auto"/>
                              <w:jc w:val="center"/>
                              <w:rPr>
                                <w:rFonts w:eastAsia="SimSun"/>
                                <w:color w:val="000000"/>
                                <w:sz w:val="14"/>
                                <w:szCs w:val="16"/>
                                <w:highlight w:val="yellow"/>
                              </w:rPr>
                            </w:pPr>
                            <w:r w:rsidRPr="00FA329D">
                              <w:rPr>
                                <w:rFonts w:eastAsia="SimSun"/>
                                <w:color w:val="000000"/>
                                <w:sz w:val="14"/>
                                <w:szCs w:val="16"/>
                                <w:highlight w:val="yellow"/>
                              </w:rPr>
                              <w:t>A7-14</w:t>
                            </w:r>
                          </w:p>
                        </w:tc>
                        <w:tc>
                          <w:tcPr>
                            <w:tcW w:w="0" w:type="auto"/>
                            <w:tcBorders>
                              <w:top w:val="nil"/>
                              <w:left w:val="nil"/>
                              <w:bottom w:val="single" w:sz="4" w:space="0" w:color="auto"/>
                              <w:right w:val="single" w:sz="4" w:space="0" w:color="auto"/>
                            </w:tcBorders>
                            <w:shd w:val="clear" w:color="auto" w:fill="auto"/>
                            <w:vAlign w:val="center"/>
                            <w:hideMark/>
                          </w:tcPr>
                          <w:p w14:paraId="6CD0582D" w14:textId="77777777" w:rsidR="009700B0" w:rsidRPr="00FA329D" w:rsidRDefault="009700B0" w:rsidP="009700B0">
                            <w:pPr>
                              <w:spacing w:after="0" w:line="240" w:lineRule="auto"/>
                              <w:rPr>
                                <w:rFonts w:eastAsia="SimSun"/>
                                <w:color w:val="000000"/>
                                <w:sz w:val="14"/>
                                <w:szCs w:val="16"/>
                                <w:highlight w:val="yellow"/>
                              </w:rPr>
                            </w:pPr>
                            <w:r w:rsidRPr="00FA329D">
                              <w:rPr>
                                <w:rFonts w:eastAsia="SimSun"/>
                                <w:color w:val="000000"/>
                                <w:sz w:val="14"/>
                                <w:szCs w:val="16"/>
                                <w:highlight w:val="yellow"/>
                              </w:rPr>
                              <w:t>System non-linearity</w:t>
                            </w:r>
                          </w:p>
                        </w:tc>
                      </w:tr>
                      <w:tr w:rsidR="009700B0" w:rsidRPr="009700B0" w14:paraId="03223AD4"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7F6F9"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A7-13</w:t>
                            </w:r>
                          </w:p>
                        </w:tc>
                        <w:tc>
                          <w:tcPr>
                            <w:tcW w:w="0" w:type="auto"/>
                            <w:tcBorders>
                              <w:top w:val="nil"/>
                              <w:left w:val="nil"/>
                              <w:bottom w:val="single" w:sz="4" w:space="0" w:color="auto"/>
                              <w:right w:val="single" w:sz="4" w:space="0" w:color="auto"/>
                            </w:tcBorders>
                            <w:shd w:val="clear" w:color="auto" w:fill="auto"/>
                            <w:vAlign w:val="center"/>
                            <w:hideMark/>
                          </w:tcPr>
                          <w:p w14:paraId="461A89B8"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Frequency Flatness</w:t>
                            </w:r>
                          </w:p>
                        </w:tc>
                      </w:tr>
                      <w:tr w:rsidR="009700B0" w:rsidRPr="009700B0" w14:paraId="147B38F1" w14:textId="77777777" w:rsidTr="009700B0">
                        <w:trPr>
                          <w:trHeight w:val="177"/>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3378878" w14:textId="77777777" w:rsidR="009700B0" w:rsidRPr="009700B0" w:rsidRDefault="009700B0" w:rsidP="009700B0">
                            <w:pPr>
                              <w:spacing w:after="0" w:line="240" w:lineRule="auto"/>
                              <w:jc w:val="center"/>
                              <w:rPr>
                                <w:rFonts w:eastAsia="SimSun"/>
                                <w:b/>
                                <w:bCs/>
                                <w:color w:val="000000"/>
                                <w:sz w:val="14"/>
                                <w:szCs w:val="16"/>
                              </w:rPr>
                            </w:pPr>
                            <w:r w:rsidRPr="009700B0">
                              <w:rPr>
                                <w:rFonts w:eastAsia="SimSun"/>
                                <w:b/>
                                <w:bCs/>
                                <w:color w:val="000000"/>
                                <w:sz w:val="14"/>
                                <w:szCs w:val="16"/>
                              </w:rPr>
                              <w:t>Stage 1: Calibration measurement</w:t>
                            </w:r>
                          </w:p>
                        </w:tc>
                      </w:tr>
                      <w:tr w:rsidR="009700B0" w:rsidRPr="009700B0" w14:paraId="539F5709" w14:textId="77777777" w:rsidTr="009700B0">
                        <w:trPr>
                          <w:trHeight w:val="16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443BC2"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C1-3</w:t>
                            </w:r>
                          </w:p>
                        </w:tc>
                        <w:tc>
                          <w:tcPr>
                            <w:tcW w:w="0" w:type="auto"/>
                            <w:tcBorders>
                              <w:top w:val="nil"/>
                              <w:left w:val="nil"/>
                              <w:bottom w:val="single" w:sz="4" w:space="0" w:color="auto"/>
                              <w:right w:val="single" w:sz="4" w:space="0" w:color="auto"/>
                            </w:tcBorders>
                            <w:shd w:val="clear" w:color="auto" w:fill="auto"/>
                            <w:vAlign w:val="center"/>
                            <w:hideMark/>
                          </w:tcPr>
                          <w:p w14:paraId="12B562E3"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Uncertainty of the network analyzer</w:t>
                            </w:r>
                          </w:p>
                        </w:tc>
                      </w:tr>
                      <w:tr w:rsidR="009700B0" w:rsidRPr="009700B0" w14:paraId="26366B1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AD36E"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A7-6</w:t>
                            </w:r>
                          </w:p>
                        </w:tc>
                        <w:tc>
                          <w:tcPr>
                            <w:tcW w:w="0" w:type="auto"/>
                            <w:tcBorders>
                              <w:top w:val="nil"/>
                              <w:left w:val="nil"/>
                              <w:bottom w:val="single" w:sz="4" w:space="0" w:color="auto"/>
                              <w:right w:val="single" w:sz="4" w:space="0" w:color="auto"/>
                            </w:tcBorders>
                            <w:shd w:val="clear" w:color="auto" w:fill="auto"/>
                            <w:vAlign w:val="center"/>
                            <w:hideMark/>
                          </w:tcPr>
                          <w:p w14:paraId="3FEDF0A9"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Mismatch (i.e. reference antenna, network analyser and reference cable)</w:t>
                            </w:r>
                          </w:p>
                        </w:tc>
                      </w:tr>
                      <w:tr w:rsidR="009700B0" w:rsidRPr="009700B0" w14:paraId="18ADE34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B7608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A7-7</w:t>
                            </w:r>
                          </w:p>
                        </w:tc>
                        <w:tc>
                          <w:tcPr>
                            <w:tcW w:w="0" w:type="auto"/>
                            <w:tcBorders>
                              <w:top w:val="nil"/>
                              <w:left w:val="nil"/>
                              <w:bottom w:val="single" w:sz="4" w:space="0" w:color="auto"/>
                              <w:right w:val="single" w:sz="4" w:space="0" w:color="auto"/>
                            </w:tcBorders>
                            <w:shd w:val="clear" w:color="auto" w:fill="auto"/>
                            <w:vAlign w:val="center"/>
                            <w:hideMark/>
                          </w:tcPr>
                          <w:p w14:paraId="65FF92C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 xml:space="preserve">Insertion loss variation </w:t>
                            </w:r>
                          </w:p>
                        </w:tc>
                      </w:tr>
                      <w:tr w:rsidR="009700B0" w:rsidRPr="009700B0" w14:paraId="450DBFAE"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F533F2"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16D6AF3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RF leakage (calibration antenna connector terminated)</w:t>
                            </w:r>
                          </w:p>
                        </w:tc>
                      </w:tr>
                      <w:tr w:rsidR="009700B0" w:rsidRPr="009700B0" w14:paraId="52703EEC"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F4E1A"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A7-8</w:t>
                            </w:r>
                          </w:p>
                        </w:tc>
                        <w:tc>
                          <w:tcPr>
                            <w:tcW w:w="0" w:type="auto"/>
                            <w:tcBorders>
                              <w:top w:val="nil"/>
                              <w:left w:val="nil"/>
                              <w:bottom w:val="single" w:sz="4" w:space="0" w:color="auto"/>
                              <w:right w:val="single" w:sz="4" w:space="0" w:color="auto"/>
                            </w:tcBorders>
                            <w:shd w:val="clear" w:color="auto" w:fill="auto"/>
                            <w:vAlign w:val="center"/>
                            <w:hideMark/>
                          </w:tcPr>
                          <w:p w14:paraId="1DE417C2"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Influence of the calibration antenna feed cable</w:t>
                            </w:r>
                          </w:p>
                        </w:tc>
                      </w:tr>
                      <w:tr w:rsidR="009700B0" w:rsidRPr="009700B0" w14:paraId="4C75D179"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ACE95"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C1-4</w:t>
                            </w:r>
                          </w:p>
                        </w:tc>
                        <w:tc>
                          <w:tcPr>
                            <w:tcW w:w="0" w:type="auto"/>
                            <w:tcBorders>
                              <w:top w:val="nil"/>
                              <w:left w:val="nil"/>
                              <w:bottom w:val="single" w:sz="4" w:space="0" w:color="auto"/>
                              <w:right w:val="single" w:sz="4" w:space="0" w:color="auto"/>
                            </w:tcBorders>
                            <w:shd w:val="clear" w:color="auto" w:fill="auto"/>
                            <w:vAlign w:val="center"/>
                            <w:hideMark/>
                          </w:tcPr>
                          <w:p w14:paraId="004404B9"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Uncertainty of the absolute gain of the reference antenna</w:t>
                            </w:r>
                          </w:p>
                        </w:tc>
                      </w:tr>
                      <w:tr w:rsidR="009700B0" w:rsidRPr="009700B0" w14:paraId="34E4A507"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F1E58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A7-9</w:t>
                            </w:r>
                          </w:p>
                        </w:tc>
                        <w:tc>
                          <w:tcPr>
                            <w:tcW w:w="0" w:type="auto"/>
                            <w:tcBorders>
                              <w:top w:val="nil"/>
                              <w:left w:val="nil"/>
                              <w:bottom w:val="single" w:sz="4" w:space="0" w:color="auto"/>
                              <w:right w:val="single" w:sz="4" w:space="0" w:color="auto"/>
                            </w:tcBorders>
                            <w:shd w:val="clear" w:color="auto" w:fill="auto"/>
                            <w:vAlign w:val="center"/>
                            <w:hideMark/>
                          </w:tcPr>
                          <w:p w14:paraId="00FE3FDD"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of positioning system</w:t>
                            </w:r>
                          </w:p>
                        </w:tc>
                      </w:tr>
                      <w:tr w:rsidR="009700B0" w:rsidRPr="009700B0" w14:paraId="79B58D03"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9BC9A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A7-1b</w:t>
                            </w:r>
                          </w:p>
                        </w:tc>
                        <w:tc>
                          <w:tcPr>
                            <w:tcW w:w="0" w:type="auto"/>
                            <w:tcBorders>
                              <w:top w:val="nil"/>
                              <w:left w:val="nil"/>
                              <w:bottom w:val="single" w:sz="4" w:space="0" w:color="auto"/>
                              <w:right w:val="single" w:sz="4" w:space="0" w:color="auto"/>
                            </w:tcBorders>
                            <w:shd w:val="clear" w:color="auto" w:fill="auto"/>
                            <w:vAlign w:val="center"/>
                            <w:hideMark/>
                          </w:tcPr>
                          <w:p w14:paraId="6D949F70"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Misalignment of calibration antenna &amp; pointing error</w:t>
                            </w:r>
                          </w:p>
                        </w:tc>
                      </w:tr>
                      <w:tr w:rsidR="009700B0" w:rsidRPr="009700B0" w14:paraId="16F77DC0"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F99B6"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A7-10</w:t>
                            </w:r>
                          </w:p>
                        </w:tc>
                        <w:tc>
                          <w:tcPr>
                            <w:tcW w:w="0" w:type="auto"/>
                            <w:tcBorders>
                              <w:top w:val="nil"/>
                              <w:left w:val="nil"/>
                              <w:bottom w:val="single" w:sz="4" w:space="0" w:color="auto"/>
                              <w:right w:val="single" w:sz="4" w:space="0" w:color="auto"/>
                            </w:tcBorders>
                            <w:shd w:val="clear" w:color="auto" w:fill="auto"/>
                            <w:vAlign w:val="center"/>
                            <w:hideMark/>
                          </w:tcPr>
                          <w:p w14:paraId="36E8AB1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Rotary joints</w:t>
                            </w:r>
                          </w:p>
                        </w:tc>
                      </w:tr>
                      <w:tr w:rsidR="009700B0" w:rsidRPr="009700B0" w14:paraId="3B4F9103" w14:textId="77777777" w:rsidTr="009700B0">
                        <w:trPr>
                          <w:trHeight w:val="28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FE8AC"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A7-2b</w:t>
                            </w:r>
                          </w:p>
                        </w:tc>
                        <w:tc>
                          <w:tcPr>
                            <w:tcW w:w="0" w:type="auto"/>
                            <w:tcBorders>
                              <w:top w:val="nil"/>
                              <w:left w:val="nil"/>
                              <w:bottom w:val="single" w:sz="4" w:space="0" w:color="auto"/>
                              <w:right w:val="single" w:sz="4" w:space="0" w:color="auto"/>
                            </w:tcBorders>
                            <w:shd w:val="clear" w:color="auto" w:fill="auto"/>
                            <w:vAlign w:val="center"/>
                            <w:hideMark/>
                          </w:tcPr>
                          <w:p w14:paraId="24ADD19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Longitudinal position uncertainty (i.e. standing wave and imperfect field synthesis) for calibration antenna</w:t>
                            </w:r>
                          </w:p>
                        </w:tc>
                      </w:tr>
                      <w:tr w:rsidR="009700B0" w:rsidRPr="009700B0" w14:paraId="2E4976BB"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7AE82B"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A7-4a</w:t>
                            </w:r>
                          </w:p>
                        </w:tc>
                        <w:tc>
                          <w:tcPr>
                            <w:tcW w:w="0" w:type="auto"/>
                            <w:tcBorders>
                              <w:top w:val="nil"/>
                              <w:left w:val="nil"/>
                              <w:bottom w:val="single" w:sz="4" w:space="0" w:color="auto"/>
                              <w:right w:val="single" w:sz="4" w:space="0" w:color="auto"/>
                            </w:tcBorders>
                            <w:shd w:val="clear" w:color="auto" w:fill="auto"/>
                            <w:vAlign w:val="center"/>
                            <w:hideMark/>
                          </w:tcPr>
                          <w:p w14:paraId="6429AFC8"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QZ ripple with calibration antenna</w:t>
                            </w:r>
                          </w:p>
                        </w:tc>
                      </w:tr>
                      <w:tr w:rsidR="009700B0" w:rsidRPr="009700B0" w14:paraId="27247DB8"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CAD1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A7-11</w:t>
                            </w:r>
                          </w:p>
                        </w:tc>
                        <w:tc>
                          <w:tcPr>
                            <w:tcW w:w="0" w:type="auto"/>
                            <w:tcBorders>
                              <w:top w:val="nil"/>
                              <w:left w:val="nil"/>
                              <w:bottom w:val="single" w:sz="4" w:space="0" w:color="auto"/>
                              <w:right w:val="single" w:sz="4" w:space="0" w:color="auto"/>
                            </w:tcBorders>
                            <w:shd w:val="clear" w:color="auto" w:fill="auto"/>
                            <w:vAlign w:val="center"/>
                            <w:hideMark/>
                          </w:tcPr>
                          <w:p w14:paraId="25682371"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Switching uncertainty</w:t>
                            </w:r>
                          </w:p>
                        </w:tc>
                      </w:tr>
                      <w:tr w:rsidR="009700B0" w:rsidRPr="009700B0" w14:paraId="5714C52C" w14:textId="77777777" w:rsidTr="009700B0">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F7C340" w14:textId="77777777" w:rsidR="009700B0" w:rsidRPr="009700B0" w:rsidRDefault="009700B0" w:rsidP="009700B0">
                            <w:pPr>
                              <w:spacing w:after="0" w:line="240" w:lineRule="auto"/>
                              <w:jc w:val="center"/>
                              <w:rPr>
                                <w:rFonts w:eastAsia="SimSun"/>
                                <w:color w:val="000000"/>
                                <w:sz w:val="14"/>
                                <w:szCs w:val="16"/>
                              </w:rPr>
                            </w:pPr>
                            <w:r w:rsidRPr="009700B0">
                              <w:rPr>
                                <w:rFonts w:eastAsia="SimSun"/>
                                <w:color w:val="000000"/>
                                <w:sz w:val="14"/>
                                <w:szCs w:val="16"/>
                              </w:rPr>
                              <w:t>A7-12</w:t>
                            </w:r>
                          </w:p>
                        </w:tc>
                        <w:tc>
                          <w:tcPr>
                            <w:tcW w:w="0" w:type="auto"/>
                            <w:tcBorders>
                              <w:top w:val="nil"/>
                              <w:left w:val="nil"/>
                              <w:bottom w:val="single" w:sz="4" w:space="0" w:color="auto"/>
                              <w:right w:val="single" w:sz="4" w:space="0" w:color="auto"/>
                            </w:tcBorders>
                            <w:shd w:val="clear" w:color="auto" w:fill="auto"/>
                            <w:vAlign w:val="center"/>
                            <w:hideMark/>
                          </w:tcPr>
                          <w:p w14:paraId="650A4C0F" w14:textId="77777777" w:rsidR="009700B0" w:rsidRPr="009700B0" w:rsidRDefault="009700B0" w:rsidP="009700B0">
                            <w:pPr>
                              <w:spacing w:after="0" w:line="240" w:lineRule="auto"/>
                              <w:rPr>
                                <w:rFonts w:eastAsia="SimSun"/>
                                <w:color w:val="000000"/>
                                <w:sz w:val="14"/>
                                <w:szCs w:val="16"/>
                              </w:rPr>
                            </w:pPr>
                            <w:r w:rsidRPr="009700B0">
                              <w:rPr>
                                <w:rFonts w:eastAsia="SimSun"/>
                                <w:color w:val="000000"/>
                                <w:sz w:val="14"/>
                                <w:szCs w:val="16"/>
                              </w:rPr>
                              <w:t>Field repeatability</w:t>
                            </w:r>
                          </w:p>
                        </w:tc>
                      </w:tr>
                    </w:tbl>
                    <w:p w14:paraId="71E07D3F" w14:textId="77777777" w:rsidR="009700B0" w:rsidRPr="009700B0" w:rsidRDefault="009700B0" w:rsidP="001269B5">
                      <w:pPr>
                        <w:rPr>
                          <w:sz w:val="20"/>
                        </w:rPr>
                      </w:pPr>
                    </w:p>
                  </w:txbxContent>
                </v:textbox>
                <w10:anchorlock/>
              </v:shape>
            </w:pict>
          </mc:Fallback>
        </mc:AlternateContent>
      </w:r>
    </w:p>
    <w:p w14:paraId="51B532E8" w14:textId="26BC3A75" w:rsidR="003D3FB9" w:rsidRPr="004F7D0D" w:rsidRDefault="001951B0" w:rsidP="003D3FB9">
      <w:pPr>
        <w:pStyle w:val="Heading1"/>
      </w:pPr>
      <w:r w:rsidRPr="004F7D0D">
        <w:t xml:space="preserve">System non-linearity error </w:t>
      </w:r>
      <w:r w:rsidR="00FA329D" w:rsidRPr="004F7D0D">
        <w:t>contribution</w:t>
      </w:r>
    </w:p>
    <w:p w14:paraId="0CA636AF" w14:textId="348ECA74" w:rsidR="001A0F3C" w:rsidRPr="004F7D0D" w:rsidRDefault="001951B0" w:rsidP="001A0F3C">
      <w:pPr>
        <w:jc w:val="both"/>
        <w:rPr>
          <w:lang w:val="en-GB" w:eastAsia="en-US"/>
        </w:rPr>
      </w:pPr>
      <w:r w:rsidRPr="004F7D0D">
        <w:rPr>
          <w:lang w:val="en-GB" w:eastAsia="en-US"/>
        </w:rPr>
        <w:t>As described in</w:t>
      </w:r>
      <w:r w:rsidR="00FA329D" w:rsidRPr="004F7D0D">
        <w:rPr>
          <w:lang w:val="en-GB" w:eastAsia="en-US"/>
        </w:rPr>
        <w:t xml:space="preserve"> TR 37.941</w:t>
      </w:r>
      <w:r w:rsidR="0004698F">
        <w:rPr>
          <w:lang w:val="en-GB" w:eastAsia="en-US"/>
        </w:rPr>
        <w:t xml:space="preserve"> </w:t>
      </w:r>
      <w:r w:rsidR="0004698F">
        <w:rPr>
          <w:lang w:val="en-GB" w:eastAsia="en-US"/>
        </w:rPr>
        <w:fldChar w:fldCharType="begin"/>
      </w:r>
      <w:r w:rsidR="0004698F">
        <w:rPr>
          <w:lang w:val="en-GB" w:eastAsia="en-US"/>
        </w:rPr>
        <w:instrText xml:space="preserve"> REF _Ref47708830 \r \h </w:instrText>
      </w:r>
      <w:r w:rsidR="0004698F">
        <w:rPr>
          <w:lang w:val="en-GB" w:eastAsia="en-US"/>
        </w:rPr>
      </w:r>
      <w:r w:rsidR="0004698F">
        <w:rPr>
          <w:lang w:val="en-GB" w:eastAsia="en-US"/>
        </w:rPr>
        <w:fldChar w:fldCharType="separate"/>
      </w:r>
      <w:r w:rsidR="003645D2">
        <w:rPr>
          <w:lang w:val="en-GB" w:eastAsia="en-US"/>
        </w:rPr>
        <w:t>[1]</w:t>
      </w:r>
      <w:r w:rsidR="0004698F">
        <w:rPr>
          <w:lang w:val="en-GB" w:eastAsia="en-US"/>
        </w:rPr>
        <w:fldChar w:fldCharType="end"/>
      </w:r>
      <w:r w:rsidR="00FA329D" w:rsidRPr="004F7D0D">
        <w:rPr>
          <w:lang w:val="en-GB" w:eastAsia="en-US"/>
        </w:rPr>
        <w:t>, clause A.7,</w:t>
      </w:r>
      <w:r w:rsidRPr="004F7D0D">
        <w:rPr>
          <w:lang w:val="en-GB" w:eastAsia="en-US"/>
        </w:rPr>
        <w:t xml:space="preserve"> t</w:t>
      </w:r>
      <w:r w:rsidR="001A0F3C" w:rsidRPr="004F7D0D">
        <w:rPr>
          <w:lang w:val="en-GB" w:eastAsia="en-US"/>
        </w:rPr>
        <w:t>his uncertainty term is calculated as RSS of the following items, assuming a rectangular distribution:</w:t>
      </w:r>
    </w:p>
    <w:p w14:paraId="6ACF053A" w14:textId="56B67AE9" w:rsidR="001A0F3C" w:rsidRPr="004F7D0D" w:rsidRDefault="001A0F3C" w:rsidP="001A0F3C">
      <w:pPr>
        <w:pStyle w:val="ListParagraph"/>
        <w:numPr>
          <w:ilvl w:val="0"/>
          <w:numId w:val="23"/>
        </w:numPr>
        <w:jc w:val="both"/>
        <w:rPr>
          <w:rFonts w:ascii="Arial" w:hAnsi="Arial" w:cs="Arial"/>
          <w:sz w:val="22"/>
          <w:szCs w:val="22"/>
          <w:lang w:val="en-GB"/>
        </w:rPr>
      </w:pPr>
      <w:r w:rsidRPr="004F7D0D">
        <w:rPr>
          <w:rFonts w:ascii="Arial" w:hAnsi="Arial" w:cs="Arial"/>
          <w:sz w:val="22"/>
          <w:szCs w:val="22"/>
          <w:lang w:val="en-GB"/>
        </w:rPr>
        <w:t>System non-linearity in time. This is assessed by repeated measurements over a period of time (e.g. 60 minutes) for the same reference power transmitted by the reference antenna. The largest difference between the results is recorded as the uncertainty.</w:t>
      </w:r>
    </w:p>
    <w:p w14:paraId="3C794DD3" w14:textId="11625E28" w:rsidR="00C74536" w:rsidRPr="004F7D0D" w:rsidRDefault="001A0F3C" w:rsidP="001A0F3C">
      <w:pPr>
        <w:pStyle w:val="ListParagraph"/>
        <w:numPr>
          <w:ilvl w:val="0"/>
          <w:numId w:val="23"/>
        </w:numPr>
        <w:jc w:val="both"/>
        <w:rPr>
          <w:rFonts w:ascii="Arial" w:hAnsi="Arial" w:cs="Arial"/>
          <w:sz w:val="22"/>
          <w:szCs w:val="22"/>
          <w:lang w:val="en-GB"/>
        </w:rPr>
      </w:pPr>
      <w:r w:rsidRPr="004F7D0D">
        <w:rPr>
          <w:rFonts w:ascii="Arial" w:hAnsi="Arial" w:cs="Arial"/>
          <w:sz w:val="22"/>
          <w:szCs w:val="22"/>
          <w:lang w:val="en-GB"/>
        </w:rPr>
        <w:t xml:space="preserve">System non-linearity in power. This is assessed by repeated measurements over a range of transmitted powers. The largest delta between the increments </w:t>
      </w:r>
      <w:r w:rsidR="004C2D34" w:rsidRPr="004F7D0D">
        <w:rPr>
          <w:rFonts w:ascii="Arial" w:hAnsi="Arial" w:cs="Arial"/>
          <w:sz w:val="22"/>
          <w:szCs w:val="22"/>
          <w:lang w:val="en-GB"/>
        </w:rPr>
        <w:t xml:space="preserve">on </w:t>
      </w:r>
      <w:r w:rsidRPr="004F7D0D">
        <w:rPr>
          <w:rFonts w:ascii="Arial" w:hAnsi="Arial" w:cs="Arial"/>
          <w:sz w:val="22"/>
          <w:szCs w:val="22"/>
          <w:lang w:val="en-GB"/>
        </w:rPr>
        <w:t>the</w:t>
      </w:r>
      <w:r w:rsidR="004C2D34" w:rsidRPr="004F7D0D">
        <w:rPr>
          <w:rFonts w:ascii="Arial" w:hAnsi="Arial" w:cs="Arial"/>
          <w:sz w:val="22"/>
          <w:szCs w:val="22"/>
          <w:lang w:val="en-GB"/>
        </w:rPr>
        <w:t xml:space="preserve"> receiving side versus the </w:t>
      </w:r>
      <w:r w:rsidRPr="004F7D0D">
        <w:rPr>
          <w:rFonts w:ascii="Arial" w:hAnsi="Arial" w:cs="Arial"/>
          <w:sz w:val="22"/>
          <w:szCs w:val="22"/>
          <w:lang w:val="en-GB"/>
        </w:rPr>
        <w:t xml:space="preserve">transmitting </w:t>
      </w:r>
      <w:r w:rsidR="004C2D34" w:rsidRPr="004F7D0D">
        <w:rPr>
          <w:rFonts w:ascii="Arial" w:hAnsi="Arial" w:cs="Arial"/>
          <w:sz w:val="22"/>
          <w:szCs w:val="22"/>
          <w:lang w:val="en-GB"/>
        </w:rPr>
        <w:t>s</w:t>
      </w:r>
      <w:r w:rsidRPr="004F7D0D">
        <w:rPr>
          <w:rFonts w:ascii="Arial" w:hAnsi="Arial" w:cs="Arial"/>
          <w:sz w:val="22"/>
          <w:szCs w:val="22"/>
          <w:lang w:val="en-GB"/>
        </w:rPr>
        <w:t>ide is recorded as the uncertainty</w:t>
      </w:r>
      <w:r w:rsidR="00C74536" w:rsidRPr="004F7D0D">
        <w:rPr>
          <w:rFonts w:ascii="Arial" w:hAnsi="Arial" w:cs="Arial"/>
          <w:sz w:val="22"/>
          <w:szCs w:val="22"/>
          <w:lang w:val="en-GB"/>
        </w:rPr>
        <w:t>.</w:t>
      </w:r>
    </w:p>
    <w:p w14:paraId="5369263D" w14:textId="74966E04" w:rsidR="007A5F31" w:rsidRPr="004F7D0D" w:rsidRDefault="007A5F31" w:rsidP="007659E7">
      <w:pPr>
        <w:jc w:val="both"/>
        <w:rPr>
          <w:lang w:val="en-GB" w:eastAsia="en-US"/>
        </w:rPr>
      </w:pPr>
    </w:p>
    <w:p w14:paraId="49A411AD" w14:textId="61C6BD12" w:rsidR="00B32495" w:rsidRPr="004F7D0D" w:rsidRDefault="006233ED" w:rsidP="007659E7">
      <w:pPr>
        <w:jc w:val="both"/>
        <w:rPr>
          <w:lang w:val="en-GB" w:eastAsia="en-US"/>
        </w:rPr>
      </w:pPr>
      <w:r w:rsidRPr="004F7D0D">
        <w:rPr>
          <w:lang w:val="en-GB" w:eastAsia="en-US"/>
        </w:rPr>
        <w:lastRenderedPageBreak/>
        <w:t>A</w:t>
      </w:r>
      <w:r w:rsidR="00FA329D" w:rsidRPr="004F7D0D">
        <w:rPr>
          <w:lang w:val="en-GB" w:eastAsia="en-US"/>
        </w:rPr>
        <w:t xml:space="preserve"> t</w:t>
      </w:r>
      <w:r w:rsidR="001951B0" w:rsidRPr="004F7D0D">
        <w:rPr>
          <w:lang w:val="en-GB" w:eastAsia="en-US"/>
        </w:rPr>
        <w:t>esting</w:t>
      </w:r>
      <w:r w:rsidR="00FA329D" w:rsidRPr="004F7D0D">
        <w:rPr>
          <w:lang w:val="en-GB" w:eastAsia="en-US"/>
        </w:rPr>
        <w:t xml:space="preserve"> campaign</w:t>
      </w:r>
      <w:r w:rsidR="001951B0" w:rsidRPr="004F7D0D">
        <w:rPr>
          <w:lang w:val="en-GB" w:eastAsia="en-US"/>
        </w:rPr>
        <w:t xml:space="preserve"> was performed on R&amp;S PWC200 to obtain </w:t>
      </w:r>
      <w:r w:rsidR="00CD0EE2" w:rsidRPr="004F7D0D">
        <w:rPr>
          <w:lang w:val="en-GB" w:eastAsia="en-US"/>
        </w:rPr>
        <w:t>the corresponding MU estimation</w:t>
      </w:r>
      <w:r w:rsidR="007A5F31" w:rsidRPr="004F7D0D">
        <w:rPr>
          <w:lang w:val="en-GB" w:eastAsia="en-US"/>
        </w:rPr>
        <w:t>.</w:t>
      </w:r>
      <w:r w:rsidR="00FA329D" w:rsidRPr="004F7D0D">
        <w:rPr>
          <w:lang w:val="en-GB" w:eastAsia="en-US"/>
        </w:rPr>
        <w:t xml:space="preserve"> Figure 3-1 presents the overall system setup:</w:t>
      </w:r>
    </w:p>
    <w:p w14:paraId="2130F1F8" w14:textId="5FDAF650" w:rsidR="00180687" w:rsidRPr="004F7D0D" w:rsidRDefault="00180687" w:rsidP="00180687">
      <w:pPr>
        <w:jc w:val="center"/>
        <w:rPr>
          <w:lang w:val="en-GB" w:eastAsia="en-US"/>
        </w:rPr>
      </w:pPr>
      <w:r w:rsidRPr="004F7D0D">
        <w:rPr>
          <w:noProof/>
          <w:lang w:eastAsia="en-US"/>
        </w:rPr>
        <w:drawing>
          <wp:inline distT="0" distB="0" distL="0" distR="0" wp14:anchorId="031A6D20" wp14:editId="6E9ACF31">
            <wp:extent cx="5522519" cy="2927061"/>
            <wp:effectExtent l="0" t="0" r="254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3801" cy="2933041"/>
                    </a:xfrm>
                    <a:prstGeom prst="rect">
                      <a:avLst/>
                    </a:prstGeom>
                    <a:noFill/>
                  </pic:spPr>
                </pic:pic>
              </a:graphicData>
            </a:graphic>
          </wp:inline>
        </w:drawing>
      </w:r>
    </w:p>
    <w:p w14:paraId="5A3BAE86" w14:textId="6F45AB03" w:rsidR="00FA329D" w:rsidRPr="004F7D0D" w:rsidRDefault="00FA329D" w:rsidP="00FA329D">
      <w:pPr>
        <w:spacing w:before="60" w:after="0" w:line="240" w:lineRule="auto"/>
        <w:jc w:val="center"/>
        <w:rPr>
          <w:rFonts w:eastAsia="Calibri" w:cs="Times New Roman"/>
          <w:b/>
          <w:bCs/>
          <w:sz w:val="18"/>
          <w:szCs w:val="18"/>
          <w:lang w:val="en-GB" w:eastAsia="en-US"/>
        </w:rPr>
      </w:pPr>
      <w:r w:rsidRPr="004F7D0D">
        <w:rPr>
          <w:rFonts w:eastAsia="Calibri" w:cs="Times New Roman"/>
          <w:b/>
          <w:bCs/>
          <w:sz w:val="18"/>
          <w:szCs w:val="18"/>
          <w:lang w:val="en-GB" w:eastAsia="en-US"/>
        </w:rPr>
        <w:t>Figure 3-1: Test setup for System Non-linearity</w:t>
      </w:r>
    </w:p>
    <w:p w14:paraId="2E1692CE" w14:textId="77777777" w:rsidR="00B32495" w:rsidRPr="004F7D0D" w:rsidRDefault="00B32495" w:rsidP="007659E7">
      <w:pPr>
        <w:jc w:val="both"/>
        <w:rPr>
          <w:lang w:val="en-GB" w:eastAsia="en-US"/>
        </w:rPr>
      </w:pPr>
    </w:p>
    <w:p w14:paraId="7ABDE06F" w14:textId="61684DFA" w:rsidR="001951B0" w:rsidRPr="004F7D0D" w:rsidRDefault="006233ED" w:rsidP="007659E7">
      <w:pPr>
        <w:jc w:val="both"/>
        <w:rPr>
          <w:lang w:val="en-GB" w:eastAsia="en-US"/>
        </w:rPr>
      </w:pPr>
      <w:r w:rsidRPr="004F7D0D">
        <w:rPr>
          <w:lang w:val="en-GB" w:eastAsia="en-US"/>
        </w:rPr>
        <w:t>Following the definition above, s</w:t>
      </w:r>
      <w:r w:rsidRPr="004F7D0D">
        <w:rPr>
          <w:lang w:val="en-GB"/>
        </w:rPr>
        <w:t>ystem non-linearity in power was tested over a range of transmitted powers, being the highest one the limit of the maximum rated Power Density (PD) per section of the PWS area (e.g. dBm/cm</w:t>
      </w:r>
      <w:r w:rsidRPr="004F7D0D">
        <w:rPr>
          <w:vertAlign w:val="superscript"/>
          <w:lang w:val="en-GB"/>
        </w:rPr>
        <w:t>2</w:t>
      </w:r>
      <w:r w:rsidRPr="004F7D0D">
        <w:rPr>
          <w:lang w:val="en-GB"/>
        </w:rPr>
        <w:t xml:space="preserve">). </w:t>
      </w:r>
      <w:r w:rsidR="007A5F31" w:rsidRPr="004F7D0D">
        <w:rPr>
          <w:lang w:val="en-GB" w:eastAsia="en-US"/>
        </w:rPr>
        <w:t>A</w:t>
      </w:r>
      <w:r w:rsidR="00CD0EE2" w:rsidRPr="004F7D0D">
        <w:rPr>
          <w:lang w:val="en-GB" w:eastAsia="en-US"/>
        </w:rPr>
        <w:t xml:space="preserve"> </w:t>
      </w:r>
      <w:r w:rsidR="008F16BA" w:rsidRPr="004F7D0D">
        <w:rPr>
          <w:lang w:val="en-GB" w:eastAsia="en-US"/>
        </w:rPr>
        <w:t xml:space="preserve">brief </w:t>
      </w:r>
      <w:r w:rsidR="00CD0EE2" w:rsidRPr="004F7D0D">
        <w:rPr>
          <w:lang w:val="en-GB" w:eastAsia="en-US"/>
        </w:rPr>
        <w:t>example of the results is shown in the following figures:</w:t>
      </w:r>
    </w:p>
    <w:p w14:paraId="7984606F" w14:textId="466D5CD0" w:rsidR="00432B40" w:rsidRPr="004F7D0D" w:rsidRDefault="00432B40" w:rsidP="00432B40">
      <w:pPr>
        <w:jc w:val="center"/>
        <w:rPr>
          <w:lang w:val="en-GB" w:eastAsia="en-US"/>
        </w:rPr>
      </w:pPr>
      <w:r w:rsidRPr="004F7D0D">
        <w:rPr>
          <w:rFonts w:eastAsia="Calibri" w:cs="Times New Roman"/>
          <w:b/>
          <w:bCs/>
          <w:noProof/>
          <w:sz w:val="18"/>
          <w:szCs w:val="18"/>
          <w:lang w:eastAsia="en-US"/>
        </w:rPr>
        <w:drawing>
          <wp:inline distT="0" distB="0" distL="0" distR="0" wp14:anchorId="6C8E7F09" wp14:editId="3F2C2DF3">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B579B8A" w14:textId="198D6B8D" w:rsidR="007A5F31" w:rsidRPr="004F7D0D" w:rsidRDefault="007A5F31" w:rsidP="007A5F31">
      <w:pPr>
        <w:spacing w:before="60" w:after="0" w:line="240" w:lineRule="auto"/>
        <w:jc w:val="center"/>
        <w:rPr>
          <w:rFonts w:eastAsia="Calibri" w:cs="Times New Roman"/>
          <w:b/>
          <w:bCs/>
          <w:sz w:val="18"/>
          <w:szCs w:val="18"/>
          <w:lang w:val="en-GB" w:eastAsia="en-US"/>
        </w:rPr>
      </w:pPr>
      <w:r w:rsidRPr="004F7D0D">
        <w:rPr>
          <w:rFonts w:eastAsia="Calibri" w:cs="Times New Roman"/>
          <w:b/>
          <w:bCs/>
          <w:sz w:val="18"/>
          <w:szCs w:val="18"/>
          <w:lang w:val="en-GB" w:eastAsia="en-US"/>
        </w:rPr>
        <w:t>Figure 3-</w:t>
      </w:r>
      <w:r w:rsidR="00FA329D" w:rsidRPr="004F7D0D">
        <w:rPr>
          <w:rFonts w:eastAsia="Calibri" w:cs="Times New Roman"/>
          <w:b/>
          <w:bCs/>
          <w:sz w:val="18"/>
          <w:szCs w:val="18"/>
          <w:lang w:val="en-GB" w:eastAsia="en-US"/>
        </w:rPr>
        <w:t>2</w:t>
      </w:r>
      <w:r w:rsidRPr="004F7D0D">
        <w:rPr>
          <w:rFonts w:eastAsia="Calibri" w:cs="Times New Roman"/>
          <w:b/>
          <w:bCs/>
          <w:sz w:val="18"/>
          <w:szCs w:val="18"/>
          <w:lang w:val="en-GB" w:eastAsia="en-US"/>
        </w:rPr>
        <w:t>: Non-linearity in power, f = 2500 MHz</w:t>
      </w:r>
    </w:p>
    <w:p w14:paraId="7097A858" w14:textId="77777777" w:rsidR="007A5F31" w:rsidRPr="004F7D0D" w:rsidRDefault="007A5F31" w:rsidP="007A5F31">
      <w:pPr>
        <w:jc w:val="center"/>
        <w:rPr>
          <w:lang w:val="en-GB" w:eastAsia="en-US"/>
        </w:rPr>
      </w:pPr>
    </w:p>
    <w:p w14:paraId="2D8F943B" w14:textId="309869F7" w:rsidR="00CD0EE2" w:rsidRPr="004F7D0D" w:rsidRDefault="00CD0EE2" w:rsidP="007A5F31">
      <w:pPr>
        <w:jc w:val="center"/>
        <w:rPr>
          <w:lang w:val="en-GB" w:eastAsia="en-US"/>
        </w:rPr>
      </w:pPr>
    </w:p>
    <w:p w14:paraId="6B0BBD97" w14:textId="6B58A3DE" w:rsidR="00432B40" w:rsidRPr="004F7D0D" w:rsidRDefault="00432B40" w:rsidP="007A5F31">
      <w:pPr>
        <w:spacing w:before="60" w:after="0" w:line="240" w:lineRule="auto"/>
        <w:jc w:val="center"/>
        <w:rPr>
          <w:rFonts w:eastAsia="Calibri" w:cs="Times New Roman"/>
          <w:b/>
          <w:bCs/>
          <w:sz w:val="18"/>
          <w:szCs w:val="18"/>
          <w:lang w:val="en-GB" w:eastAsia="en-US"/>
        </w:rPr>
      </w:pPr>
      <w:r w:rsidRPr="004F7D0D">
        <w:rPr>
          <w:rFonts w:eastAsia="Calibri" w:cs="Times New Roman"/>
          <w:b/>
          <w:bCs/>
          <w:noProof/>
          <w:sz w:val="18"/>
          <w:szCs w:val="18"/>
          <w:lang w:eastAsia="en-US"/>
        </w:rPr>
        <w:drawing>
          <wp:inline distT="0" distB="0" distL="0" distR="0" wp14:anchorId="429369CB" wp14:editId="345DB0A4">
            <wp:extent cx="54864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EC11B76" w14:textId="75918798" w:rsidR="007A5F31" w:rsidRPr="004F7D0D" w:rsidRDefault="007A5F31" w:rsidP="007A5F31">
      <w:pPr>
        <w:spacing w:before="60" w:after="0" w:line="240" w:lineRule="auto"/>
        <w:jc w:val="center"/>
        <w:rPr>
          <w:rFonts w:eastAsia="Calibri" w:cs="Times New Roman"/>
          <w:b/>
          <w:bCs/>
          <w:sz w:val="18"/>
          <w:szCs w:val="18"/>
          <w:lang w:val="en-GB" w:eastAsia="en-US"/>
        </w:rPr>
      </w:pPr>
      <w:r w:rsidRPr="004F7D0D">
        <w:rPr>
          <w:rFonts w:eastAsia="Calibri" w:cs="Times New Roman"/>
          <w:b/>
          <w:bCs/>
          <w:sz w:val="18"/>
          <w:szCs w:val="18"/>
          <w:lang w:val="en-GB" w:eastAsia="en-US"/>
        </w:rPr>
        <w:t>Figure 3</w:t>
      </w:r>
      <w:r w:rsidR="00FA329D" w:rsidRPr="004F7D0D">
        <w:rPr>
          <w:rFonts w:eastAsia="Calibri" w:cs="Times New Roman"/>
          <w:b/>
          <w:bCs/>
          <w:sz w:val="18"/>
          <w:szCs w:val="18"/>
          <w:lang w:val="en-GB" w:eastAsia="en-US"/>
        </w:rPr>
        <w:t>-3</w:t>
      </w:r>
      <w:r w:rsidRPr="004F7D0D">
        <w:rPr>
          <w:rFonts w:eastAsia="Calibri" w:cs="Times New Roman"/>
          <w:b/>
          <w:bCs/>
          <w:sz w:val="18"/>
          <w:szCs w:val="18"/>
          <w:lang w:val="en-GB" w:eastAsia="en-US"/>
        </w:rPr>
        <w:t xml:space="preserve">: Non-linearity in power, f = 3650 MHz </w:t>
      </w:r>
    </w:p>
    <w:p w14:paraId="2B933247" w14:textId="69AEAD9A" w:rsidR="00725144" w:rsidRPr="004F7D0D" w:rsidRDefault="00725144" w:rsidP="007A5F31">
      <w:pPr>
        <w:spacing w:before="60" w:after="0" w:line="240" w:lineRule="auto"/>
        <w:jc w:val="center"/>
        <w:rPr>
          <w:rFonts w:eastAsia="Calibri" w:cs="Times New Roman"/>
          <w:b/>
          <w:bCs/>
          <w:sz w:val="18"/>
          <w:szCs w:val="18"/>
          <w:lang w:val="en-GB" w:eastAsia="en-US"/>
        </w:rPr>
      </w:pPr>
    </w:p>
    <w:p w14:paraId="297FD1E8" w14:textId="6F20A1D6" w:rsidR="008F16BA" w:rsidRPr="004F7D0D" w:rsidRDefault="008F16BA" w:rsidP="004F7D0D">
      <w:pPr>
        <w:jc w:val="both"/>
        <w:rPr>
          <w:lang w:val="en-GB" w:eastAsia="en-US"/>
        </w:rPr>
      </w:pPr>
      <w:r w:rsidRPr="004F7D0D">
        <w:rPr>
          <w:lang w:val="en-GB" w:eastAsia="en-US"/>
        </w:rPr>
        <w:t>Using the same system setup, s</w:t>
      </w:r>
      <w:r w:rsidRPr="004F7D0D">
        <w:rPr>
          <w:lang w:val="en-GB"/>
        </w:rPr>
        <w:t>ystem non-linearity in time was tested over a period time using a fixed transmitted power close to the limit of the maximum rated Power Density (PD) per section of the PWS area (e.g. dBm/cm</w:t>
      </w:r>
      <w:r w:rsidRPr="004F7D0D">
        <w:rPr>
          <w:vertAlign w:val="superscript"/>
          <w:lang w:val="en-GB"/>
        </w:rPr>
        <w:t>2</w:t>
      </w:r>
      <w:r w:rsidRPr="004F7D0D">
        <w:rPr>
          <w:lang w:val="en-GB"/>
        </w:rPr>
        <w:t xml:space="preserve">). </w:t>
      </w:r>
      <w:r w:rsidRPr="004F7D0D">
        <w:rPr>
          <w:lang w:val="en-GB" w:eastAsia="en-US"/>
        </w:rPr>
        <w:t>A brief example of the results is shown in the following figure:</w:t>
      </w:r>
    </w:p>
    <w:p w14:paraId="2A841BB6" w14:textId="3D9791D0" w:rsidR="00725144" w:rsidRPr="004F7D0D" w:rsidRDefault="00725144" w:rsidP="007A5F31">
      <w:pPr>
        <w:spacing w:before="60" w:after="0" w:line="240" w:lineRule="auto"/>
        <w:jc w:val="center"/>
        <w:rPr>
          <w:rFonts w:eastAsia="Calibri" w:cs="Times New Roman"/>
          <w:b/>
          <w:bCs/>
          <w:sz w:val="18"/>
          <w:szCs w:val="18"/>
          <w:lang w:val="en-GB" w:eastAsia="en-US"/>
        </w:rPr>
      </w:pPr>
      <w:r w:rsidRPr="004F7D0D">
        <w:rPr>
          <w:rFonts w:eastAsia="Calibri" w:cs="Times New Roman"/>
          <w:b/>
          <w:bCs/>
          <w:noProof/>
          <w:sz w:val="18"/>
          <w:szCs w:val="18"/>
          <w:lang w:eastAsia="en-US"/>
        </w:rPr>
        <w:drawing>
          <wp:inline distT="0" distB="0" distL="0" distR="0" wp14:anchorId="449239DB" wp14:editId="048F5059">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BD53C10" w14:textId="4A0D8167" w:rsidR="008F16BA" w:rsidRPr="004F7D0D" w:rsidRDefault="008F16BA" w:rsidP="008F16BA">
      <w:pPr>
        <w:spacing w:before="60" w:after="0" w:line="240" w:lineRule="auto"/>
        <w:jc w:val="center"/>
        <w:rPr>
          <w:rFonts w:eastAsia="Calibri" w:cs="Times New Roman"/>
          <w:b/>
          <w:bCs/>
          <w:sz w:val="18"/>
          <w:szCs w:val="18"/>
          <w:lang w:val="en-GB" w:eastAsia="en-US"/>
        </w:rPr>
      </w:pPr>
      <w:r w:rsidRPr="004F7D0D">
        <w:rPr>
          <w:rFonts w:eastAsia="Calibri" w:cs="Times New Roman"/>
          <w:b/>
          <w:bCs/>
          <w:sz w:val="18"/>
          <w:szCs w:val="18"/>
          <w:lang w:val="en-GB" w:eastAsia="en-US"/>
        </w:rPr>
        <w:t xml:space="preserve">Figure 3-4: Non-linearity in time, f = 3650 MHz </w:t>
      </w:r>
    </w:p>
    <w:p w14:paraId="7AC1B9D1" w14:textId="77777777" w:rsidR="008F16BA" w:rsidRPr="004F7D0D" w:rsidRDefault="008F16BA" w:rsidP="007A5F31">
      <w:pPr>
        <w:spacing w:before="60" w:after="0" w:line="240" w:lineRule="auto"/>
        <w:jc w:val="center"/>
        <w:rPr>
          <w:rFonts w:eastAsia="Calibri" w:cs="Times New Roman"/>
          <w:b/>
          <w:bCs/>
          <w:sz w:val="18"/>
          <w:szCs w:val="18"/>
          <w:lang w:val="en-GB" w:eastAsia="en-US"/>
        </w:rPr>
      </w:pPr>
    </w:p>
    <w:p w14:paraId="6D55A9E8" w14:textId="77777777" w:rsidR="008F16BA" w:rsidRPr="004F7D0D" w:rsidRDefault="008F16BA" w:rsidP="007659E7">
      <w:pPr>
        <w:jc w:val="both"/>
        <w:rPr>
          <w:lang w:val="en-GB" w:eastAsia="en-US"/>
        </w:rPr>
      </w:pPr>
    </w:p>
    <w:p w14:paraId="0D40E43F" w14:textId="27178E8B" w:rsidR="001951B0" w:rsidRPr="004F7D0D" w:rsidRDefault="006233ED" w:rsidP="007659E7">
      <w:pPr>
        <w:jc w:val="both"/>
        <w:rPr>
          <w:lang w:val="en-GB" w:eastAsia="en-US"/>
        </w:rPr>
      </w:pPr>
      <w:r w:rsidRPr="004F7D0D">
        <w:rPr>
          <w:lang w:val="en-GB" w:eastAsia="en-US"/>
        </w:rPr>
        <w:t>According to the</w:t>
      </w:r>
      <w:r w:rsidR="008F16BA" w:rsidRPr="004F7D0D">
        <w:rPr>
          <w:lang w:val="en-GB" w:eastAsia="en-US"/>
        </w:rPr>
        <w:t xml:space="preserve"> </w:t>
      </w:r>
      <w:r w:rsidRPr="004F7D0D">
        <w:rPr>
          <w:lang w:val="en-GB" w:eastAsia="en-US"/>
        </w:rPr>
        <w:t>results</w:t>
      </w:r>
      <w:r w:rsidR="008F16BA" w:rsidRPr="004F7D0D">
        <w:rPr>
          <w:lang w:val="en-GB" w:eastAsia="en-US"/>
        </w:rPr>
        <w:t xml:space="preserve"> from this measurement campaign, system non-linearity uncertainty is calculated using the worst case for each frequency range and combined as RSS for the two items:</w:t>
      </w:r>
    </w:p>
    <w:tbl>
      <w:tblPr>
        <w:tblW w:w="5000" w:type="pct"/>
        <w:tblLayout w:type="fixed"/>
        <w:tblLook w:val="04A0" w:firstRow="1" w:lastRow="0" w:firstColumn="1" w:lastColumn="0" w:noHBand="0" w:noVBand="1"/>
      </w:tblPr>
      <w:tblGrid>
        <w:gridCol w:w="703"/>
        <w:gridCol w:w="1843"/>
        <w:gridCol w:w="921"/>
        <w:gridCol w:w="1063"/>
        <w:gridCol w:w="567"/>
        <w:gridCol w:w="1138"/>
        <w:gridCol w:w="780"/>
        <w:gridCol w:w="780"/>
        <w:gridCol w:w="780"/>
        <w:gridCol w:w="780"/>
      </w:tblGrid>
      <w:tr w:rsidR="001951B0" w:rsidRPr="004F7D0D" w14:paraId="1CA91237" w14:textId="77777777" w:rsidTr="00F955EE">
        <w:trPr>
          <w:trHeight w:val="510"/>
        </w:trPr>
        <w:tc>
          <w:tcPr>
            <w:tcW w:w="376" w:type="pct"/>
            <w:tcBorders>
              <w:top w:val="single" w:sz="4" w:space="0" w:color="95B3D7"/>
              <w:left w:val="single" w:sz="4" w:space="0" w:color="95B3D7"/>
              <w:bottom w:val="single" w:sz="4" w:space="0" w:color="95B3D7"/>
              <w:right w:val="nil"/>
            </w:tcBorders>
            <w:shd w:val="clear" w:color="000000" w:fill="4F81BD"/>
            <w:vAlign w:val="center"/>
          </w:tcPr>
          <w:p w14:paraId="1B73CB36" w14:textId="77777777"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UID</w:t>
            </w:r>
          </w:p>
        </w:tc>
        <w:tc>
          <w:tcPr>
            <w:tcW w:w="985" w:type="pct"/>
            <w:tcBorders>
              <w:top w:val="single" w:sz="4" w:space="0" w:color="95B3D7"/>
              <w:left w:val="single" w:sz="4" w:space="0" w:color="95B3D7"/>
              <w:bottom w:val="single" w:sz="4" w:space="0" w:color="95B3D7"/>
              <w:right w:val="nil"/>
            </w:tcBorders>
            <w:shd w:val="clear" w:color="000000" w:fill="4F81BD"/>
            <w:noWrap/>
            <w:vAlign w:val="center"/>
            <w:hideMark/>
          </w:tcPr>
          <w:p w14:paraId="44479243" w14:textId="77777777" w:rsidR="001951B0" w:rsidRPr="004F7D0D" w:rsidRDefault="001951B0" w:rsidP="001951B0">
            <w:pPr>
              <w:spacing w:after="0" w:line="240" w:lineRule="auto"/>
              <w:rPr>
                <w:rFonts w:eastAsia="Times New Roman"/>
                <w:b/>
                <w:bCs/>
                <w:color w:val="FFFFFF"/>
                <w:sz w:val="16"/>
                <w:szCs w:val="16"/>
                <w:lang w:val="en-GB"/>
              </w:rPr>
            </w:pPr>
            <w:r w:rsidRPr="004F7D0D">
              <w:rPr>
                <w:rFonts w:eastAsia="Times New Roman"/>
                <w:b/>
                <w:bCs/>
                <w:color w:val="FFFFFF"/>
                <w:sz w:val="16"/>
                <w:szCs w:val="16"/>
                <w:lang w:val="en-GB"/>
              </w:rPr>
              <w:t>Uncertainty Source</w:t>
            </w:r>
          </w:p>
        </w:tc>
        <w:tc>
          <w:tcPr>
            <w:tcW w:w="492" w:type="pct"/>
            <w:tcBorders>
              <w:top w:val="single" w:sz="4" w:space="0" w:color="95B3D7"/>
              <w:left w:val="nil"/>
              <w:bottom w:val="single" w:sz="4" w:space="0" w:color="95B3D7"/>
              <w:right w:val="nil"/>
            </w:tcBorders>
            <w:shd w:val="clear" w:color="000000" w:fill="4F81BD"/>
            <w:vAlign w:val="center"/>
            <w:hideMark/>
          </w:tcPr>
          <w:p w14:paraId="08C2DE4C" w14:textId="57CCA06E" w:rsidR="001951B0" w:rsidRPr="004F7D0D" w:rsidRDefault="001951B0" w:rsidP="00F955EE">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Value</w:t>
            </w:r>
            <w:r w:rsidRPr="004F7D0D">
              <w:rPr>
                <w:rFonts w:eastAsia="Times New Roman"/>
                <w:b/>
                <w:bCs/>
                <w:color w:val="FFFFFF"/>
                <w:sz w:val="16"/>
                <w:szCs w:val="16"/>
                <w:lang w:val="en-GB"/>
              </w:rPr>
              <w:br/>
              <w:t>f &lt; 3 GHz</w:t>
            </w:r>
          </w:p>
        </w:tc>
        <w:tc>
          <w:tcPr>
            <w:tcW w:w="568" w:type="pct"/>
            <w:tcBorders>
              <w:top w:val="single" w:sz="4" w:space="0" w:color="95B3D7"/>
              <w:left w:val="nil"/>
              <w:bottom w:val="single" w:sz="4" w:space="0" w:color="95B3D7"/>
              <w:right w:val="nil"/>
            </w:tcBorders>
            <w:shd w:val="clear" w:color="000000" w:fill="4F81BD"/>
            <w:vAlign w:val="center"/>
            <w:hideMark/>
          </w:tcPr>
          <w:p w14:paraId="36D6C7CD" w14:textId="7969B506" w:rsidR="001951B0" w:rsidRPr="004F7D0D" w:rsidRDefault="001951B0" w:rsidP="00F955EE">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Value</w:t>
            </w:r>
            <w:r w:rsidRPr="004F7D0D">
              <w:rPr>
                <w:rFonts w:eastAsia="Times New Roman"/>
                <w:b/>
                <w:bCs/>
                <w:color w:val="FFFFFF"/>
                <w:sz w:val="16"/>
                <w:szCs w:val="16"/>
                <w:lang w:val="en-GB"/>
              </w:rPr>
              <w:br/>
            </w:r>
            <w:r w:rsidR="008F16BA" w:rsidRPr="004F7D0D">
              <w:rPr>
                <w:rFonts w:eastAsia="Times New Roman"/>
                <w:b/>
                <w:bCs/>
                <w:color w:val="FFFFFF"/>
                <w:sz w:val="16"/>
                <w:szCs w:val="16"/>
                <w:lang w:val="en-GB"/>
              </w:rPr>
              <w:t xml:space="preserve">3 &gt; </w:t>
            </w:r>
            <w:r w:rsidRPr="004F7D0D">
              <w:rPr>
                <w:rFonts w:eastAsia="Times New Roman"/>
                <w:b/>
                <w:bCs/>
                <w:color w:val="FFFFFF"/>
                <w:sz w:val="16"/>
                <w:szCs w:val="16"/>
                <w:lang w:val="en-GB"/>
              </w:rPr>
              <w:t xml:space="preserve">f &gt; </w:t>
            </w:r>
            <w:r w:rsidR="00F955EE" w:rsidRPr="004F7D0D">
              <w:rPr>
                <w:rFonts w:eastAsia="Times New Roman"/>
                <w:b/>
                <w:bCs/>
                <w:color w:val="FFFFFF"/>
                <w:sz w:val="16"/>
                <w:szCs w:val="16"/>
                <w:lang w:val="en-GB"/>
              </w:rPr>
              <w:t>4.2</w:t>
            </w:r>
            <w:r w:rsidRPr="004F7D0D">
              <w:rPr>
                <w:rFonts w:eastAsia="Times New Roman"/>
                <w:b/>
                <w:bCs/>
                <w:color w:val="FFFFFF"/>
                <w:sz w:val="16"/>
                <w:szCs w:val="16"/>
                <w:lang w:val="en-GB"/>
              </w:rPr>
              <w:t xml:space="preserve"> GHz</w:t>
            </w:r>
          </w:p>
        </w:tc>
        <w:tc>
          <w:tcPr>
            <w:tcW w:w="303" w:type="pct"/>
            <w:tcBorders>
              <w:top w:val="single" w:sz="4" w:space="0" w:color="95B3D7"/>
              <w:left w:val="nil"/>
              <w:bottom w:val="single" w:sz="4" w:space="0" w:color="95B3D7"/>
              <w:right w:val="nil"/>
            </w:tcBorders>
            <w:shd w:val="clear" w:color="000000" w:fill="4F81BD"/>
            <w:noWrap/>
            <w:vAlign w:val="center"/>
            <w:hideMark/>
          </w:tcPr>
          <w:p w14:paraId="68BBD42B" w14:textId="77777777"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08C76784" w14:textId="77777777"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4DAEA06" w14:textId="77777777"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D50D56D" w14:textId="77777777"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611889FE" w14:textId="38C74055"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u</w:t>
            </w:r>
            <w:r w:rsidRPr="004F7D0D">
              <w:rPr>
                <w:rFonts w:eastAsia="Times New Roman"/>
                <w:b/>
                <w:bCs/>
                <w:color w:val="FFFFFF"/>
                <w:sz w:val="16"/>
                <w:szCs w:val="16"/>
                <w:vertAlign w:val="subscript"/>
                <w:lang w:val="en-GB"/>
              </w:rPr>
              <w:t>i</w:t>
            </w:r>
            <w:r w:rsidRPr="004F7D0D">
              <w:rPr>
                <w:rFonts w:eastAsia="Times New Roman"/>
                <w:b/>
                <w:bCs/>
                <w:color w:val="FFFFFF"/>
                <w:sz w:val="16"/>
                <w:szCs w:val="16"/>
                <w:lang w:val="en-GB"/>
              </w:rPr>
              <w:t xml:space="preserve"> (dB)</w:t>
            </w:r>
            <w:r w:rsidRPr="004F7D0D">
              <w:rPr>
                <w:rFonts w:eastAsia="Times New Roman"/>
                <w:b/>
                <w:bCs/>
                <w:color w:val="FFFFFF"/>
                <w:sz w:val="16"/>
                <w:szCs w:val="16"/>
                <w:lang w:val="en-GB"/>
              </w:rPr>
              <w:br/>
            </w:r>
            <w:r w:rsidR="00F955EE" w:rsidRPr="004F7D0D">
              <w:rPr>
                <w:rFonts w:eastAsia="Times New Roman"/>
                <w:b/>
                <w:bCs/>
                <w:color w:val="FFFFFF"/>
                <w:sz w:val="16"/>
                <w:szCs w:val="16"/>
                <w:lang w:val="en-GB"/>
              </w:rP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0572B57C" w14:textId="6B6BD859" w:rsidR="001951B0" w:rsidRPr="004F7D0D" w:rsidRDefault="001951B0" w:rsidP="001951B0">
            <w:pPr>
              <w:spacing w:after="0" w:line="240" w:lineRule="auto"/>
              <w:jc w:val="center"/>
              <w:rPr>
                <w:rFonts w:eastAsia="Times New Roman"/>
                <w:b/>
                <w:bCs/>
                <w:color w:val="FFFFFF"/>
                <w:sz w:val="16"/>
                <w:szCs w:val="16"/>
                <w:lang w:val="en-GB"/>
              </w:rPr>
            </w:pPr>
            <w:r w:rsidRPr="004F7D0D">
              <w:rPr>
                <w:rFonts w:eastAsia="Times New Roman"/>
                <w:b/>
                <w:bCs/>
                <w:color w:val="FFFFFF"/>
                <w:sz w:val="16"/>
                <w:szCs w:val="16"/>
                <w:lang w:val="en-GB"/>
              </w:rPr>
              <w:t>u</w:t>
            </w:r>
            <w:r w:rsidRPr="004F7D0D">
              <w:rPr>
                <w:rFonts w:eastAsia="Times New Roman"/>
                <w:b/>
                <w:bCs/>
                <w:color w:val="FFFFFF"/>
                <w:sz w:val="16"/>
                <w:szCs w:val="16"/>
                <w:vertAlign w:val="subscript"/>
                <w:lang w:val="en-GB"/>
              </w:rPr>
              <w:t>i</w:t>
            </w:r>
            <w:r w:rsidRPr="004F7D0D">
              <w:rPr>
                <w:rFonts w:eastAsia="Times New Roman"/>
                <w:b/>
                <w:bCs/>
                <w:color w:val="FFFFFF"/>
                <w:sz w:val="16"/>
                <w:szCs w:val="16"/>
                <w:lang w:val="en-GB"/>
              </w:rPr>
              <w:t xml:space="preserve"> (dB)</w:t>
            </w:r>
            <w:r w:rsidRPr="004F7D0D">
              <w:rPr>
                <w:rFonts w:eastAsia="Times New Roman"/>
                <w:b/>
                <w:bCs/>
                <w:color w:val="FFFFFF"/>
                <w:sz w:val="16"/>
                <w:szCs w:val="16"/>
                <w:lang w:val="en-GB"/>
              </w:rPr>
              <w:br/>
            </w:r>
            <w:r w:rsidR="00F955EE" w:rsidRPr="004F7D0D">
              <w:rPr>
                <w:rFonts w:eastAsia="Times New Roman"/>
                <w:b/>
                <w:bCs/>
                <w:color w:val="FFFFFF"/>
                <w:sz w:val="16"/>
                <w:szCs w:val="16"/>
                <w:lang w:val="en-GB"/>
              </w:rPr>
              <w:t>3 &gt; f &gt; 4.2 GHz</w:t>
            </w:r>
          </w:p>
        </w:tc>
      </w:tr>
      <w:tr w:rsidR="001951B0" w:rsidRPr="004F7D0D" w14:paraId="36979E86" w14:textId="77777777" w:rsidTr="00F955EE">
        <w:trPr>
          <w:trHeight w:val="255"/>
        </w:trPr>
        <w:tc>
          <w:tcPr>
            <w:tcW w:w="376" w:type="pct"/>
            <w:tcBorders>
              <w:top w:val="single" w:sz="4" w:space="0" w:color="95B3D7"/>
              <w:left w:val="single" w:sz="4" w:space="0" w:color="95B3D7"/>
              <w:bottom w:val="single" w:sz="4" w:space="0" w:color="95B3D7"/>
              <w:right w:val="nil"/>
            </w:tcBorders>
            <w:shd w:val="clear" w:color="DCE6F1" w:fill="DCE6F1"/>
            <w:vAlign w:val="center"/>
          </w:tcPr>
          <w:p w14:paraId="1D2C9C5A" w14:textId="754570B0" w:rsidR="001951B0" w:rsidRPr="004F7D0D" w:rsidRDefault="008F16BA" w:rsidP="001951B0">
            <w:pPr>
              <w:spacing w:after="0" w:line="240" w:lineRule="auto"/>
              <w:jc w:val="center"/>
              <w:rPr>
                <w:color w:val="000000"/>
                <w:sz w:val="16"/>
                <w:szCs w:val="16"/>
                <w:lang w:val="en-GB"/>
              </w:rPr>
            </w:pPr>
            <w:r w:rsidRPr="004F7D0D">
              <w:rPr>
                <w:color w:val="000000"/>
                <w:sz w:val="16"/>
                <w:szCs w:val="16"/>
                <w:lang w:val="en-GB"/>
              </w:rPr>
              <w:t>A7-14</w:t>
            </w:r>
          </w:p>
        </w:tc>
        <w:tc>
          <w:tcPr>
            <w:tcW w:w="985" w:type="pct"/>
            <w:tcBorders>
              <w:top w:val="single" w:sz="4" w:space="0" w:color="95B3D7"/>
              <w:left w:val="single" w:sz="4" w:space="0" w:color="95B3D7"/>
              <w:bottom w:val="single" w:sz="4" w:space="0" w:color="95B3D7"/>
              <w:right w:val="nil"/>
            </w:tcBorders>
            <w:shd w:val="clear" w:color="DCE6F1" w:fill="DCE6F1"/>
            <w:noWrap/>
            <w:vAlign w:val="center"/>
            <w:hideMark/>
          </w:tcPr>
          <w:p w14:paraId="5376F067" w14:textId="523E8E1F" w:rsidR="001951B0" w:rsidRPr="004F7D0D" w:rsidRDefault="001951B0" w:rsidP="001951B0">
            <w:pPr>
              <w:spacing w:after="0" w:line="240" w:lineRule="auto"/>
              <w:rPr>
                <w:color w:val="000000"/>
                <w:sz w:val="16"/>
                <w:szCs w:val="16"/>
                <w:lang w:val="en-GB"/>
              </w:rPr>
            </w:pPr>
            <w:r w:rsidRPr="004F7D0D">
              <w:rPr>
                <w:color w:val="000000"/>
                <w:sz w:val="16"/>
                <w:szCs w:val="16"/>
                <w:lang w:val="en-GB"/>
              </w:rPr>
              <w:t>System non-linearity</w:t>
            </w:r>
          </w:p>
        </w:tc>
        <w:tc>
          <w:tcPr>
            <w:tcW w:w="492" w:type="pct"/>
            <w:tcBorders>
              <w:top w:val="single" w:sz="4" w:space="0" w:color="95B3D7"/>
              <w:left w:val="nil"/>
              <w:bottom w:val="single" w:sz="4" w:space="0" w:color="95B3D7"/>
              <w:right w:val="nil"/>
            </w:tcBorders>
            <w:shd w:val="clear" w:color="DCE6F1" w:fill="DCE6F1"/>
            <w:noWrap/>
            <w:vAlign w:val="center"/>
            <w:hideMark/>
          </w:tcPr>
          <w:p w14:paraId="14F172BE" w14:textId="5B5D7236" w:rsidR="001951B0" w:rsidRPr="004F7D0D" w:rsidRDefault="001951B0" w:rsidP="008F16BA">
            <w:pPr>
              <w:spacing w:after="0" w:line="240" w:lineRule="auto"/>
              <w:jc w:val="center"/>
              <w:rPr>
                <w:color w:val="000000"/>
                <w:sz w:val="16"/>
                <w:szCs w:val="16"/>
                <w:lang w:val="en-GB"/>
              </w:rPr>
            </w:pPr>
            <w:r w:rsidRPr="004F7D0D">
              <w:rPr>
                <w:color w:val="000000"/>
                <w:sz w:val="16"/>
                <w:szCs w:val="16"/>
                <w:lang w:val="en-GB"/>
              </w:rPr>
              <w:t>0.</w:t>
            </w:r>
            <w:r w:rsidR="008F16BA" w:rsidRPr="004F7D0D">
              <w:rPr>
                <w:color w:val="000000"/>
                <w:sz w:val="16"/>
                <w:szCs w:val="16"/>
                <w:lang w:val="en-GB"/>
              </w:rPr>
              <w:t>10</w:t>
            </w:r>
          </w:p>
        </w:tc>
        <w:tc>
          <w:tcPr>
            <w:tcW w:w="568" w:type="pct"/>
            <w:tcBorders>
              <w:top w:val="single" w:sz="4" w:space="0" w:color="95B3D7"/>
              <w:left w:val="nil"/>
              <w:bottom w:val="single" w:sz="4" w:space="0" w:color="95B3D7"/>
              <w:right w:val="nil"/>
            </w:tcBorders>
            <w:shd w:val="clear" w:color="DCE6F1" w:fill="DCE6F1"/>
            <w:noWrap/>
            <w:vAlign w:val="center"/>
            <w:hideMark/>
          </w:tcPr>
          <w:p w14:paraId="0DCB95E7" w14:textId="1F2C6041" w:rsidR="001951B0" w:rsidRPr="004F7D0D" w:rsidRDefault="001951B0" w:rsidP="008F16BA">
            <w:pPr>
              <w:spacing w:after="0" w:line="240" w:lineRule="auto"/>
              <w:jc w:val="center"/>
              <w:rPr>
                <w:color w:val="000000"/>
                <w:sz w:val="16"/>
                <w:szCs w:val="16"/>
                <w:lang w:val="en-GB"/>
              </w:rPr>
            </w:pPr>
            <w:r w:rsidRPr="004F7D0D">
              <w:rPr>
                <w:color w:val="000000"/>
                <w:sz w:val="16"/>
                <w:szCs w:val="16"/>
                <w:lang w:val="en-GB"/>
              </w:rPr>
              <w:t>0.1</w:t>
            </w:r>
            <w:r w:rsidR="008F16BA" w:rsidRPr="004F7D0D">
              <w:rPr>
                <w:color w:val="000000"/>
                <w:sz w:val="16"/>
                <w:szCs w:val="16"/>
                <w:lang w:val="en-GB"/>
              </w:rPr>
              <w:t>0</w:t>
            </w:r>
          </w:p>
        </w:tc>
        <w:tc>
          <w:tcPr>
            <w:tcW w:w="303" w:type="pct"/>
            <w:tcBorders>
              <w:top w:val="single" w:sz="4" w:space="0" w:color="95B3D7"/>
              <w:left w:val="nil"/>
              <w:bottom w:val="single" w:sz="4" w:space="0" w:color="95B3D7"/>
              <w:right w:val="nil"/>
            </w:tcBorders>
            <w:shd w:val="clear" w:color="DCE6F1" w:fill="DCE6F1"/>
            <w:noWrap/>
            <w:vAlign w:val="center"/>
            <w:hideMark/>
          </w:tcPr>
          <w:p w14:paraId="56427F35" w14:textId="77777777" w:rsidR="001951B0" w:rsidRPr="004F7D0D" w:rsidRDefault="001951B0" w:rsidP="001951B0">
            <w:pPr>
              <w:spacing w:after="0" w:line="240" w:lineRule="auto"/>
              <w:jc w:val="center"/>
              <w:rPr>
                <w:color w:val="000000"/>
                <w:sz w:val="16"/>
                <w:szCs w:val="16"/>
                <w:lang w:val="en-GB"/>
              </w:rPr>
            </w:pPr>
            <w:r w:rsidRPr="004F7D0D">
              <w:rPr>
                <w:color w:val="000000"/>
                <w:sz w:val="16"/>
                <w:szCs w:val="16"/>
                <w:lang w:val="en-GB"/>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016E83F" w14:textId="098D48E2" w:rsidR="001951B0" w:rsidRPr="004F7D0D" w:rsidRDefault="008F16BA" w:rsidP="008F16BA">
            <w:pPr>
              <w:spacing w:after="0" w:line="240" w:lineRule="auto"/>
              <w:jc w:val="center"/>
              <w:rPr>
                <w:color w:val="000000"/>
                <w:sz w:val="16"/>
                <w:szCs w:val="16"/>
                <w:lang w:val="en-GB"/>
              </w:rPr>
            </w:pPr>
            <w:r w:rsidRPr="004F7D0D">
              <w:rPr>
                <w:color w:val="000000"/>
                <w:sz w:val="16"/>
                <w:szCs w:val="16"/>
                <w:lang w:val="en-GB"/>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19D8AA7B" w14:textId="74D08EED" w:rsidR="001951B0" w:rsidRPr="004F7D0D" w:rsidRDefault="008F16BA" w:rsidP="001951B0">
            <w:pPr>
              <w:spacing w:after="0" w:line="240" w:lineRule="auto"/>
              <w:jc w:val="center"/>
              <w:rPr>
                <w:color w:val="000000"/>
                <w:sz w:val="16"/>
                <w:szCs w:val="16"/>
                <w:lang w:val="en-GB"/>
              </w:rPr>
            </w:pPr>
            <w:r w:rsidRPr="004F7D0D">
              <w:rPr>
                <w:sz w:val="16"/>
                <w:szCs w:val="16"/>
                <w:lang w:val="en-GB"/>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2810F23F" w14:textId="77777777" w:rsidR="001951B0" w:rsidRPr="004F7D0D" w:rsidRDefault="001951B0" w:rsidP="001951B0">
            <w:pPr>
              <w:spacing w:after="0" w:line="240" w:lineRule="auto"/>
              <w:jc w:val="center"/>
              <w:rPr>
                <w:color w:val="000000"/>
                <w:sz w:val="16"/>
                <w:szCs w:val="16"/>
                <w:lang w:val="en-GB"/>
              </w:rPr>
            </w:pPr>
            <w:r w:rsidRPr="004F7D0D">
              <w:rPr>
                <w:color w:val="000000"/>
                <w:sz w:val="16"/>
                <w:szCs w:val="16"/>
                <w:lang w:val="en-GB"/>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2D2A3241" w14:textId="28FAE12D" w:rsidR="001951B0" w:rsidRPr="004F7D0D" w:rsidRDefault="001951B0" w:rsidP="008F16BA">
            <w:pPr>
              <w:spacing w:after="0" w:line="240" w:lineRule="auto"/>
              <w:jc w:val="center"/>
              <w:rPr>
                <w:color w:val="000000"/>
                <w:sz w:val="16"/>
                <w:szCs w:val="16"/>
                <w:lang w:val="en-GB"/>
              </w:rPr>
            </w:pPr>
            <w:r w:rsidRPr="004F7D0D">
              <w:rPr>
                <w:color w:val="000000"/>
                <w:sz w:val="16"/>
                <w:szCs w:val="16"/>
                <w:lang w:val="en-GB"/>
              </w:rPr>
              <w:t>0.0</w:t>
            </w:r>
            <w:r w:rsidR="008F16BA" w:rsidRPr="004F7D0D">
              <w:rPr>
                <w:color w:val="000000"/>
                <w:sz w:val="16"/>
                <w:szCs w:val="16"/>
                <w:lang w:val="en-GB"/>
              </w:rPr>
              <w:t>58</w:t>
            </w:r>
          </w:p>
        </w:tc>
        <w:tc>
          <w:tcPr>
            <w:tcW w:w="417" w:type="pct"/>
            <w:tcBorders>
              <w:top w:val="single" w:sz="4" w:space="0" w:color="95B3D7"/>
              <w:left w:val="nil"/>
              <w:bottom w:val="single" w:sz="4" w:space="0" w:color="95B3D7"/>
              <w:right w:val="nil"/>
            </w:tcBorders>
            <w:shd w:val="clear" w:color="DCE6F1" w:fill="DCE6F1"/>
            <w:noWrap/>
            <w:vAlign w:val="center"/>
            <w:hideMark/>
          </w:tcPr>
          <w:p w14:paraId="46D6B983" w14:textId="45ECC406" w:rsidR="001951B0" w:rsidRPr="004F7D0D" w:rsidRDefault="008F16BA" w:rsidP="001951B0">
            <w:pPr>
              <w:spacing w:after="0" w:line="240" w:lineRule="auto"/>
              <w:jc w:val="center"/>
              <w:rPr>
                <w:color w:val="000000"/>
                <w:sz w:val="16"/>
                <w:szCs w:val="16"/>
                <w:lang w:val="en-GB"/>
              </w:rPr>
            </w:pPr>
            <w:r w:rsidRPr="004F7D0D">
              <w:rPr>
                <w:color w:val="000000"/>
                <w:sz w:val="16"/>
                <w:szCs w:val="16"/>
                <w:lang w:val="en-GB"/>
              </w:rPr>
              <w:t>0.058</w:t>
            </w:r>
          </w:p>
        </w:tc>
      </w:tr>
    </w:tbl>
    <w:p w14:paraId="1188353B" w14:textId="6B24E2E4" w:rsidR="008446EC" w:rsidRPr="004F7D0D" w:rsidRDefault="008446EC">
      <w:pPr>
        <w:spacing w:after="0" w:line="240" w:lineRule="auto"/>
        <w:rPr>
          <w:rFonts w:cs="Times New Roman"/>
          <w:b/>
          <w:sz w:val="28"/>
          <w:szCs w:val="20"/>
          <w:lang w:val="en-GB" w:eastAsia="en-US"/>
        </w:rPr>
      </w:pPr>
    </w:p>
    <w:p w14:paraId="75239396" w14:textId="22A79191" w:rsidR="003D3FB9" w:rsidRPr="004F7D0D" w:rsidRDefault="003D3FB9" w:rsidP="003D3FB9">
      <w:pPr>
        <w:pStyle w:val="Heading1"/>
      </w:pPr>
      <w:r w:rsidRPr="004F7D0D">
        <w:t>MU values</w:t>
      </w:r>
    </w:p>
    <w:p w14:paraId="58233CE7" w14:textId="6C357B52" w:rsidR="00A524D0" w:rsidRDefault="001951B0" w:rsidP="004F7D0D">
      <w:pPr>
        <w:jc w:val="both"/>
        <w:rPr>
          <w:lang w:val="en-GB" w:eastAsia="en-US"/>
        </w:rPr>
      </w:pPr>
      <w:r w:rsidRPr="004F7D0D">
        <w:rPr>
          <w:lang w:val="en-GB" w:eastAsia="en-US"/>
        </w:rPr>
        <w:t>Following the same procedure in</w:t>
      </w:r>
      <w:r w:rsidR="0004698F">
        <w:rPr>
          <w:lang w:val="en-GB" w:eastAsia="en-US"/>
        </w:rPr>
        <w:t xml:space="preserve"> </w:t>
      </w:r>
      <w:r w:rsidR="0004698F">
        <w:rPr>
          <w:lang w:val="en-GB" w:eastAsia="en-US"/>
        </w:rPr>
        <w:fldChar w:fldCharType="begin"/>
      </w:r>
      <w:r w:rsidR="0004698F">
        <w:rPr>
          <w:lang w:val="en-GB" w:eastAsia="en-US"/>
        </w:rPr>
        <w:instrText xml:space="preserve"> REF _Ref47709002 \r \h </w:instrText>
      </w:r>
      <w:r w:rsidR="0004698F">
        <w:rPr>
          <w:lang w:val="en-GB" w:eastAsia="en-US"/>
        </w:rPr>
      </w:r>
      <w:r w:rsidR="0004698F">
        <w:rPr>
          <w:lang w:val="en-GB" w:eastAsia="en-US"/>
        </w:rPr>
        <w:fldChar w:fldCharType="separate"/>
      </w:r>
      <w:r w:rsidR="003645D2">
        <w:rPr>
          <w:lang w:val="en-GB" w:eastAsia="en-US"/>
        </w:rPr>
        <w:t>[4]</w:t>
      </w:r>
      <w:r w:rsidR="0004698F">
        <w:rPr>
          <w:lang w:val="en-GB" w:eastAsia="en-US"/>
        </w:rPr>
        <w:fldChar w:fldCharType="end"/>
      </w:r>
      <w:r w:rsidR="0004698F">
        <w:rPr>
          <w:lang w:val="en-GB" w:eastAsia="en-US"/>
        </w:rPr>
        <w:t xml:space="preserve"> and </w:t>
      </w:r>
      <w:r w:rsidR="0004698F">
        <w:rPr>
          <w:lang w:val="en-GB" w:eastAsia="en-US"/>
        </w:rPr>
        <w:fldChar w:fldCharType="begin"/>
      </w:r>
      <w:r w:rsidR="0004698F">
        <w:rPr>
          <w:lang w:val="en-GB" w:eastAsia="en-US"/>
        </w:rPr>
        <w:instrText xml:space="preserve"> REF _Ref47709004 \r \h </w:instrText>
      </w:r>
      <w:r w:rsidR="0004698F">
        <w:rPr>
          <w:lang w:val="en-GB" w:eastAsia="en-US"/>
        </w:rPr>
      </w:r>
      <w:r w:rsidR="0004698F">
        <w:rPr>
          <w:lang w:val="en-GB" w:eastAsia="en-US"/>
        </w:rPr>
        <w:fldChar w:fldCharType="separate"/>
      </w:r>
      <w:r w:rsidR="003645D2">
        <w:rPr>
          <w:lang w:val="en-GB" w:eastAsia="en-US"/>
        </w:rPr>
        <w:t>[5]</w:t>
      </w:r>
      <w:r w:rsidR="0004698F">
        <w:rPr>
          <w:lang w:val="en-GB" w:eastAsia="en-US"/>
        </w:rPr>
        <w:fldChar w:fldCharType="end"/>
      </w:r>
      <w:r w:rsidR="004F7D0D">
        <w:rPr>
          <w:lang w:val="en-GB" w:eastAsia="en-US"/>
        </w:rPr>
        <w:t xml:space="preserve">, </w:t>
      </w:r>
      <w:r w:rsidRPr="004F7D0D">
        <w:rPr>
          <w:lang w:val="en-GB" w:eastAsia="en-US"/>
        </w:rPr>
        <w:t>full MU tables are presented in the excel spreadsheet</w:t>
      </w:r>
      <w:r w:rsidR="0004698F">
        <w:rPr>
          <w:lang w:val="en-GB" w:eastAsia="en-US"/>
        </w:rPr>
        <w:t>s</w:t>
      </w:r>
      <w:r w:rsidRPr="004F7D0D">
        <w:rPr>
          <w:lang w:val="en-GB" w:eastAsia="en-US"/>
        </w:rPr>
        <w:t xml:space="preserve"> attached</w:t>
      </w:r>
      <w:r w:rsidR="004F7D0D">
        <w:rPr>
          <w:lang w:val="en-GB" w:eastAsia="en-US"/>
        </w:rPr>
        <w:t xml:space="preserve"> </w:t>
      </w:r>
      <w:r w:rsidR="004F7D0D" w:rsidRPr="004F7D0D">
        <w:rPr>
          <w:lang w:val="en-GB" w:eastAsia="en-US"/>
        </w:rPr>
        <w:t>to this contribution</w:t>
      </w:r>
      <w:r w:rsidR="00CA154F">
        <w:rPr>
          <w:lang w:val="en-GB" w:eastAsia="en-US"/>
        </w:rPr>
        <w:t>,</w:t>
      </w:r>
      <w:r w:rsidR="004F7D0D">
        <w:rPr>
          <w:lang w:val="en-GB" w:eastAsia="en-US"/>
        </w:rPr>
        <w:t xml:space="preserve"> were the updated </w:t>
      </w:r>
      <w:r w:rsidR="00267392">
        <w:rPr>
          <w:lang w:val="en-GB" w:eastAsia="en-US"/>
        </w:rPr>
        <w:t xml:space="preserve">tabs and </w:t>
      </w:r>
      <w:r w:rsidR="004F7D0D">
        <w:rPr>
          <w:lang w:val="en-GB" w:eastAsia="en-US"/>
        </w:rPr>
        <w:t>values are highlighted</w:t>
      </w:r>
      <w:r w:rsidR="00267392">
        <w:rPr>
          <w:lang w:val="en-GB" w:eastAsia="en-US"/>
        </w:rPr>
        <w:t xml:space="preserve"> (in red)</w:t>
      </w:r>
      <w:r w:rsidR="004F7D0D">
        <w:rPr>
          <w:lang w:val="en-GB" w:eastAsia="en-US"/>
        </w:rPr>
        <w:t xml:space="preserve">. </w:t>
      </w:r>
      <w:r w:rsidR="00A524D0">
        <w:rPr>
          <w:lang w:val="en-GB" w:eastAsia="en-US"/>
        </w:rPr>
        <w:t>Just for clarity, o</w:t>
      </w:r>
      <w:r w:rsidR="00CA154F">
        <w:rPr>
          <w:lang w:val="en-GB" w:eastAsia="en-US"/>
        </w:rPr>
        <w:t>nly</w:t>
      </w:r>
      <w:r w:rsidR="00A524D0">
        <w:rPr>
          <w:lang w:val="en-GB" w:eastAsia="en-US"/>
        </w:rPr>
        <w:t xml:space="preserve"> affected tables </w:t>
      </w:r>
      <w:r w:rsidR="00CA154F">
        <w:rPr>
          <w:lang w:val="en-GB" w:eastAsia="en-US"/>
        </w:rPr>
        <w:t>for PWS</w:t>
      </w:r>
      <w:r w:rsidR="00092148">
        <w:rPr>
          <w:lang w:val="en-GB" w:eastAsia="en-US"/>
        </w:rPr>
        <w:t xml:space="preserve"> in TR 37.941</w:t>
      </w:r>
      <w:r w:rsidR="0004698F">
        <w:rPr>
          <w:lang w:val="en-GB" w:eastAsia="en-US"/>
        </w:rPr>
        <w:t xml:space="preserve"> </w:t>
      </w:r>
      <w:r w:rsidR="0004698F">
        <w:rPr>
          <w:lang w:val="en-GB" w:eastAsia="en-US"/>
        </w:rPr>
        <w:fldChar w:fldCharType="begin"/>
      </w:r>
      <w:r w:rsidR="0004698F">
        <w:rPr>
          <w:lang w:val="en-GB" w:eastAsia="en-US"/>
        </w:rPr>
        <w:instrText xml:space="preserve"> REF _Ref47708830 \r \h </w:instrText>
      </w:r>
      <w:r w:rsidR="0004698F">
        <w:rPr>
          <w:lang w:val="en-GB" w:eastAsia="en-US"/>
        </w:rPr>
      </w:r>
      <w:r w:rsidR="0004698F">
        <w:rPr>
          <w:lang w:val="en-GB" w:eastAsia="en-US"/>
        </w:rPr>
        <w:fldChar w:fldCharType="separate"/>
      </w:r>
      <w:r w:rsidR="003645D2">
        <w:rPr>
          <w:lang w:val="en-GB" w:eastAsia="en-US"/>
        </w:rPr>
        <w:t>[1]</w:t>
      </w:r>
      <w:r w:rsidR="0004698F">
        <w:rPr>
          <w:lang w:val="en-GB" w:eastAsia="en-US"/>
        </w:rPr>
        <w:fldChar w:fldCharType="end"/>
      </w:r>
      <w:r w:rsidR="00CA154F">
        <w:rPr>
          <w:lang w:val="en-GB" w:eastAsia="en-US"/>
        </w:rPr>
        <w:t xml:space="preserve"> are presented</w:t>
      </w:r>
      <w:r w:rsidR="00092148">
        <w:rPr>
          <w:lang w:val="en-GB" w:eastAsia="en-US"/>
        </w:rPr>
        <w:t xml:space="preserve"> in the spreadsheet</w:t>
      </w:r>
      <w:r w:rsidR="0004698F">
        <w:rPr>
          <w:lang w:val="en-GB" w:eastAsia="en-US"/>
        </w:rPr>
        <w:t>s</w:t>
      </w:r>
      <w:r w:rsidR="00A524D0">
        <w:rPr>
          <w:lang w:val="en-GB" w:eastAsia="en-US"/>
        </w:rPr>
        <w:t>.</w:t>
      </w:r>
    </w:p>
    <w:p w14:paraId="19D37841" w14:textId="65EED4AE" w:rsidR="001951B0" w:rsidRPr="004F7D0D" w:rsidRDefault="00CA154F" w:rsidP="004F7D0D">
      <w:pPr>
        <w:jc w:val="both"/>
        <w:rPr>
          <w:lang w:val="en-GB" w:eastAsia="en-US"/>
        </w:rPr>
      </w:pPr>
      <w:r>
        <w:rPr>
          <w:lang w:val="en-GB" w:eastAsia="en-US"/>
        </w:rPr>
        <w:t xml:space="preserve">Furthermore, </w:t>
      </w:r>
      <w:r w:rsidR="004F7D0D">
        <w:rPr>
          <w:lang w:val="en-GB" w:eastAsia="en-US"/>
        </w:rPr>
        <w:t xml:space="preserve">MU tables </w:t>
      </w:r>
      <w:r w:rsidR="00092148">
        <w:rPr>
          <w:lang w:val="en-GB" w:eastAsia="en-US"/>
        </w:rPr>
        <w:t xml:space="preserve">updates </w:t>
      </w:r>
      <w:r w:rsidR="004F7D0D">
        <w:rPr>
          <w:lang w:val="en-GB" w:eastAsia="en-US"/>
        </w:rPr>
        <w:t xml:space="preserve">are </w:t>
      </w:r>
      <w:r w:rsidR="00F955EE" w:rsidRPr="004F7D0D">
        <w:rPr>
          <w:lang w:val="en-GB" w:eastAsia="en-US"/>
        </w:rPr>
        <w:t>provided in the corresponding CR</w:t>
      </w:r>
      <w:r w:rsidR="003645D2">
        <w:rPr>
          <w:lang w:val="en-GB" w:eastAsia="en-US"/>
        </w:rPr>
        <w:t xml:space="preserve"> </w:t>
      </w:r>
      <w:r w:rsidR="003645D2">
        <w:rPr>
          <w:lang w:val="en-GB" w:eastAsia="en-US"/>
        </w:rPr>
        <w:fldChar w:fldCharType="begin"/>
      </w:r>
      <w:r w:rsidR="003645D2">
        <w:rPr>
          <w:lang w:val="en-GB" w:eastAsia="en-US"/>
        </w:rPr>
        <w:instrText xml:space="preserve"> REF _Ref47712924 \r \h </w:instrText>
      </w:r>
      <w:r w:rsidR="003645D2">
        <w:rPr>
          <w:lang w:val="en-GB" w:eastAsia="en-US"/>
        </w:rPr>
      </w:r>
      <w:r w:rsidR="003645D2">
        <w:rPr>
          <w:lang w:val="en-GB" w:eastAsia="en-US"/>
        </w:rPr>
        <w:fldChar w:fldCharType="separate"/>
      </w:r>
      <w:r w:rsidR="003645D2">
        <w:rPr>
          <w:lang w:val="en-GB" w:eastAsia="en-US"/>
        </w:rPr>
        <w:t>[6]</w:t>
      </w:r>
      <w:r w:rsidR="003645D2">
        <w:rPr>
          <w:lang w:val="en-GB" w:eastAsia="en-US"/>
        </w:rPr>
        <w:fldChar w:fldCharType="end"/>
      </w:r>
      <w:r w:rsidR="00F955EE" w:rsidRPr="004F7D0D">
        <w:rPr>
          <w:lang w:val="en-GB" w:eastAsia="en-US"/>
        </w:rPr>
        <w:t xml:space="preserve"> covering all applicable test cases.</w:t>
      </w:r>
    </w:p>
    <w:p w14:paraId="72FDD352" w14:textId="04788636" w:rsidR="009F7963" w:rsidRPr="004F7D0D" w:rsidRDefault="00F955EE" w:rsidP="004F7D0D">
      <w:pPr>
        <w:jc w:val="both"/>
        <w:rPr>
          <w:lang w:val="en-GB" w:eastAsia="en-US"/>
        </w:rPr>
      </w:pPr>
      <w:r w:rsidRPr="004F7D0D">
        <w:rPr>
          <w:lang w:val="en-GB" w:eastAsia="en-US"/>
        </w:rPr>
        <w:t>It has to be noted that some uncertainty values remain still between brackets for the frequency range between 4.2GHz and 6GHz. For instance:</w:t>
      </w:r>
    </w:p>
    <w:p w14:paraId="0187E717" w14:textId="27089146" w:rsidR="00F955EE" w:rsidRPr="004F7D0D" w:rsidRDefault="00F955EE" w:rsidP="004F7D0D">
      <w:pPr>
        <w:pStyle w:val="ListParagraph"/>
        <w:numPr>
          <w:ilvl w:val="0"/>
          <w:numId w:val="32"/>
        </w:numPr>
        <w:jc w:val="both"/>
        <w:rPr>
          <w:rFonts w:ascii="Arial" w:hAnsi="Arial" w:cs="Arial"/>
          <w:sz w:val="22"/>
          <w:szCs w:val="22"/>
          <w:lang w:val="en-GB"/>
        </w:rPr>
      </w:pPr>
      <w:r w:rsidRPr="004F7D0D">
        <w:rPr>
          <w:rFonts w:ascii="Arial" w:hAnsi="Arial" w:cs="Arial"/>
          <w:sz w:val="22"/>
          <w:szCs w:val="22"/>
          <w:lang w:val="en-GB"/>
        </w:rPr>
        <w:t>Longitudinal position uncertainty (i.e. standing wave and imperfect field synthesis) for BS antenna / calibration antenna</w:t>
      </w:r>
    </w:p>
    <w:p w14:paraId="55B8FFAC" w14:textId="77777777" w:rsidR="00F955EE" w:rsidRPr="004F7D0D" w:rsidRDefault="00F955EE" w:rsidP="004F7D0D">
      <w:pPr>
        <w:pStyle w:val="ListParagraph"/>
        <w:numPr>
          <w:ilvl w:val="0"/>
          <w:numId w:val="32"/>
        </w:numPr>
        <w:jc w:val="both"/>
        <w:rPr>
          <w:rFonts w:ascii="Arial" w:hAnsi="Arial" w:cs="Arial"/>
          <w:sz w:val="22"/>
          <w:szCs w:val="22"/>
          <w:lang w:val="en-GB"/>
        </w:rPr>
      </w:pPr>
      <w:r w:rsidRPr="004F7D0D">
        <w:rPr>
          <w:rFonts w:ascii="Arial" w:hAnsi="Arial" w:cs="Arial"/>
          <w:sz w:val="22"/>
          <w:szCs w:val="22"/>
          <w:lang w:val="en-GB"/>
        </w:rPr>
        <w:t>QZ ripple with BS</w:t>
      </w:r>
    </w:p>
    <w:p w14:paraId="35354AAB" w14:textId="77777777" w:rsidR="00F955EE" w:rsidRPr="004F7D0D" w:rsidRDefault="00F955EE" w:rsidP="004F7D0D">
      <w:pPr>
        <w:pStyle w:val="ListParagraph"/>
        <w:numPr>
          <w:ilvl w:val="0"/>
          <w:numId w:val="32"/>
        </w:numPr>
        <w:jc w:val="both"/>
        <w:rPr>
          <w:rFonts w:ascii="Arial" w:hAnsi="Arial" w:cs="Arial"/>
          <w:sz w:val="22"/>
          <w:szCs w:val="22"/>
          <w:lang w:val="en-GB"/>
        </w:rPr>
      </w:pPr>
      <w:r w:rsidRPr="004F7D0D">
        <w:rPr>
          <w:rFonts w:ascii="Arial" w:hAnsi="Arial" w:cs="Arial"/>
          <w:sz w:val="22"/>
          <w:szCs w:val="22"/>
          <w:lang w:val="en-GB"/>
        </w:rPr>
        <w:t>System non-linearity</w:t>
      </w:r>
    </w:p>
    <w:p w14:paraId="1EC188E8" w14:textId="758F30A3" w:rsidR="00F955EE" w:rsidRPr="004F7D0D" w:rsidRDefault="00F955EE" w:rsidP="004F7D0D">
      <w:pPr>
        <w:pStyle w:val="ListParagraph"/>
        <w:numPr>
          <w:ilvl w:val="0"/>
          <w:numId w:val="32"/>
        </w:numPr>
        <w:jc w:val="both"/>
        <w:rPr>
          <w:rFonts w:ascii="Arial" w:hAnsi="Arial" w:cs="Arial"/>
          <w:sz w:val="22"/>
          <w:szCs w:val="22"/>
          <w:lang w:val="en-GB"/>
        </w:rPr>
      </w:pPr>
      <w:r w:rsidRPr="004F7D0D">
        <w:rPr>
          <w:rFonts w:ascii="Arial" w:hAnsi="Arial" w:cs="Arial"/>
          <w:sz w:val="22"/>
          <w:szCs w:val="22"/>
          <w:lang w:val="en-GB"/>
        </w:rPr>
        <w:t>Field repeatability</w:t>
      </w:r>
    </w:p>
    <w:p w14:paraId="3A239062" w14:textId="6B019D6C" w:rsidR="00267392" w:rsidRDefault="00267392" w:rsidP="004F7D0D">
      <w:pPr>
        <w:jc w:val="both"/>
        <w:rPr>
          <w:lang w:val="en-GB"/>
        </w:rPr>
      </w:pPr>
      <w:r>
        <w:rPr>
          <w:lang w:val="en-GB"/>
        </w:rPr>
        <w:t>The cells with corresponding values for this pending terms highlighted (in cyan) in the attached spreadsheet.</w:t>
      </w:r>
    </w:p>
    <w:p w14:paraId="1149C871" w14:textId="571DD267" w:rsidR="007B67D4" w:rsidRPr="004F7D0D" w:rsidRDefault="004E6793" w:rsidP="004F7D0D">
      <w:pPr>
        <w:jc w:val="both"/>
        <w:rPr>
          <w:lang w:val="en-GB"/>
        </w:rPr>
      </w:pPr>
      <w:r w:rsidRPr="004F7D0D">
        <w:rPr>
          <w:lang w:val="en-GB"/>
        </w:rPr>
        <w:t xml:space="preserve">Further measurements to cover this frequency range are ongoing and </w:t>
      </w:r>
      <w:r w:rsidR="00432B40" w:rsidRPr="004F7D0D">
        <w:rPr>
          <w:lang w:val="en-GB"/>
        </w:rPr>
        <w:t xml:space="preserve">values will be presented </w:t>
      </w:r>
      <w:r w:rsidRPr="004F7D0D">
        <w:rPr>
          <w:lang w:val="en-GB"/>
        </w:rPr>
        <w:t>in upcoming meetings.</w:t>
      </w:r>
    </w:p>
    <w:p w14:paraId="2303DFE5" w14:textId="418AD58F" w:rsidR="00231DCF" w:rsidRPr="004F7D0D" w:rsidRDefault="00231DCF" w:rsidP="00231DCF">
      <w:pPr>
        <w:pStyle w:val="Heading1"/>
      </w:pPr>
      <w:r w:rsidRPr="004F7D0D">
        <w:t>Conclusion</w:t>
      </w:r>
    </w:p>
    <w:p w14:paraId="436691F6" w14:textId="64CD63F4" w:rsidR="00092148" w:rsidRDefault="009F7963" w:rsidP="009746F4">
      <w:pPr>
        <w:jc w:val="both"/>
        <w:rPr>
          <w:lang w:val="en-GB" w:eastAsia="en-US"/>
        </w:rPr>
      </w:pPr>
      <w:r w:rsidRPr="004F7D0D">
        <w:rPr>
          <w:lang w:val="en-GB" w:eastAsia="en-US"/>
        </w:rPr>
        <w:t xml:space="preserve">In this contribution, </w:t>
      </w:r>
      <w:r w:rsidR="00092148">
        <w:rPr>
          <w:lang w:val="en-GB" w:eastAsia="en-US"/>
        </w:rPr>
        <w:t xml:space="preserve">the results from the test campaign to finalize the value for </w:t>
      </w:r>
      <w:r w:rsidR="00092148" w:rsidRPr="00092148">
        <w:rPr>
          <w:lang w:val="en-GB" w:eastAsia="en-US"/>
        </w:rPr>
        <w:t>System non-linearity</w:t>
      </w:r>
      <w:r w:rsidR="00092148">
        <w:rPr>
          <w:lang w:val="en-GB" w:eastAsia="en-US"/>
        </w:rPr>
        <w:t xml:space="preserve"> uncertainty source to PWS have been presented. </w:t>
      </w:r>
    </w:p>
    <w:p w14:paraId="3FC19F45" w14:textId="6DA5AAAB" w:rsidR="006C16F1" w:rsidRPr="004F7D0D" w:rsidRDefault="006C16F1" w:rsidP="006C16F1">
      <w:pPr>
        <w:pStyle w:val="Heading1"/>
      </w:pPr>
      <w:r w:rsidRPr="004F7D0D">
        <w:t>References</w:t>
      </w:r>
    </w:p>
    <w:p w14:paraId="5881940B" w14:textId="5FB968D3" w:rsidR="00CA154F" w:rsidRPr="006E2F6A" w:rsidRDefault="00CA154F" w:rsidP="006E2F6A">
      <w:pPr>
        <w:pStyle w:val="ListParagraph"/>
        <w:numPr>
          <w:ilvl w:val="0"/>
          <w:numId w:val="4"/>
        </w:numPr>
        <w:spacing w:after="0" w:line="240" w:lineRule="auto"/>
        <w:rPr>
          <w:lang w:val="en-GB"/>
        </w:rPr>
      </w:pPr>
      <w:bookmarkStart w:id="17" w:name="_Ref16672550"/>
      <w:bookmarkStart w:id="18" w:name="_Ref47708830"/>
      <w:bookmarkStart w:id="19" w:name="_Ref16672511"/>
      <w:r w:rsidRPr="006E2F6A">
        <w:rPr>
          <w:lang w:val="en-GB"/>
        </w:rPr>
        <w:t>3GPP TR 37.</w:t>
      </w:r>
      <w:r w:rsidR="006E2F6A" w:rsidRPr="006E2F6A">
        <w:rPr>
          <w:lang w:val="en-GB"/>
        </w:rPr>
        <w:t>941</w:t>
      </w:r>
      <w:bookmarkEnd w:id="17"/>
      <w:r w:rsidR="006E2F6A" w:rsidRPr="006E2F6A">
        <w:rPr>
          <w:lang w:val="en-GB"/>
        </w:rPr>
        <w:t xml:space="preserve"> v15.0.0 (2020-06)</w:t>
      </w:r>
      <w:bookmarkEnd w:id="18"/>
    </w:p>
    <w:p w14:paraId="3C9CA4B6" w14:textId="5E769FB5" w:rsidR="005D0416" w:rsidRPr="00CA154F" w:rsidRDefault="005D0416" w:rsidP="005D0416">
      <w:pPr>
        <w:pStyle w:val="ListParagraph"/>
        <w:numPr>
          <w:ilvl w:val="0"/>
          <w:numId w:val="4"/>
        </w:numPr>
        <w:spacing w:after="0" w:line="240" w:lineRule="auto"/>
        <w:rPr>
          <w:lang w:val="en-GB"/>
        </w:rPr>
      </w:pPr>
      <w:bookmarkStart w:id="20" w:name="_Ref24034282"/>
      <w:bookmarkEnd w:id="19"/>
      <w:r w:rsidRPr="00CA154F">
        <w:rPr>
          <w:lang w:val="en-GB"/>
        </w:rPr>
        <w:t xml:space="preserve">R4-1911849, “Plane Wave Synthesizer – Pending MU terms”, </w:t>
      </w:r>
      <w:r w:rsidRPr="00CA154F">
        <w:rPr>
          <w:rFonts w:cs="Arial"/>
          <w:lang w:val="en-GB"/>
        </w:rPr>
        <w:t>Rohde &amp; Schwarz, RAN4#92-bis, October 2019</w:t>
      </w:r>
      <w:bookmarkEnd w:id="20"/>
    </w:p>
    <w:p w14:paraId="07D9CB95" w14:textId="0ECCD844" w:rsidR="00CA154F" w:rsidRPr="00CA154F" w:rsidRDefault="00CA154F" w:rsidP="00CA154F">
      <w:pPr>
        <w:pStyle w:val="ListParagraph"/>
        <w:numPr>
          <w:ilvl w:val="0"/>
          <w:numId w:val="4"/>
        </w:numPr>
        <w:spacing w:after="0" w:line="240" w:lineRule="auto"/>
        <w:rPr>
          <w:lang w:val="en-GB"/>
        </w:rPr>
      </w:pPr>
      <w:r w:rsidRPr="00CA154F">
        <w:rPr>
          <w:lang w:val="en-GB"/>
        </w:rPr>
        <w:t xml:space="preserve">R4-2004393, “Justification for additional Tx test cases for PWS”, </w:t>
      </w:r>
      <w:r w:rsidRPr="00CA154F">
        <w:rPr>
          <w:rFonts w:cs="Arial"/>
          <w:lang w:val="en-GB"/>
        </w:rPr>
        <w:t xml:space="preserve">Rohde &amp; Schwarz, </w:t>
      </w:r>
      <w:r w:rsidRPr="00CA154F">
        <w:rPr>
          <w:lang w:val="en-US"/>
        </w:rPr>
        <w:t>RAN4#94bis-e, April 2020</w:t>
      </w:r>
    </w:p>
    <w:p w14:paraId="436904A6" w14:textId="43618D33" w:rsidR="00CA154F" w:rsidRDefault="00CA154F" w:rsidP="00CA154F">
      <w:pPr>
        <w:pStyle w:val="ListParagraph"/>
        <w:numPr>
          <w:ilvl w:val="0"/>
          <w:numId w:val="4"/>
        </w:numPr>
        <w:spacing w:after="0" w:line="240" w:lineRule="auto"/>
        <w:rPr>
          <w:lang w:val="es-ES"/>
        </w:rPr>
      </w:pPr>
      <w:bookmarkStart w:id="21" w:name="_Ref47709002"/>
      <w:r w:rsidRPr="00CA154F">
        <w:rPr>
          <w:lang w:val="es-ES"/>
        </w:rPr>
        <w:t xml:space="preserve">R4-2004527, “OTA BS testing Tx FR1 MU calculation tables”, Huawei, RAN4#94bis-e, </w:t>
      </w:r>
      <w:r>
        <w:rPr>
          <w:lang w:val="es-ES"/>
        </w:rPr>
        <w:t>April 2020</w:t>
      </w:r>
      <w:bookmarkEnd w:id="21"/>
    </w:p>
    <w:p w14:paraId="1072BB0B" w14:textId="68BADD0B" w:rsidR="0004698F" w:rsidRDefault="0004698F" w:rsidP="0004698F">
      <w:pPr>
        <w:pStyle w:val="ListParagraph"/>
        <w:numPr>
          <w:ilvl w:val="0"/>
          <w:numId w:val="4"/>
        </w:numPr>
        <w:spacing w:after="0" w:line="240" w:lineRule="auto"/>
        <w:rPr>
          <w:lang w:val="es-ES"/>
        </w:rPr>
      </w:pPr>
      <w:bookmarkStart w:id="22" w:name="_Ref47709004"/>
      <w:r>
        <w:rPr>
          <w:lang w:val="es-ES"/>
        </w:rPr>
        <w:t>R4-2004534, “</w:t>
      </w:r>
      <w:r w:rsidRPr="0004698F">
        <w:rPr>
          <w:lang w:val="es-ES"/>
        </w:rPr>
        <w:t xml:space="preserve">OTA BS testing RX FR1 MU calculation tables </w:t>
      </w:r>
      <w:r>
        <w:rPr>
          <w:lang w:val="es-ES"/>
        </w:rPr>
        <w:t>–</w:t>
      </w:r>
      <w:r w:rsidRPr="0004698F">
        <w:rPr>
          <w:lang w:val="es-ES"/>
        </w:rPr>
        <w:t xml:space="preserve"> correction</w:t>
      </w:r>
      <w:r>
        <w:rPr>
          <w:lang w:val="es-ES"/>
        </w:rPr>
        <w:t xml:space="preserve">”, </w:t>
      </w:r>
      <w:r w:rsidRPr="00CA154F">
        <w:rPr>
          <w:lang w:val="es-ES"/>
        </w:rPr>
        <w:t xml:space="preserve">Huawei, RAN4#94bis-e, </w:t>
      </w:r>
      <w:r>
        <w:rPr>
          <w:lang w:val="es-ES"/>
        </w:rPr>
        <w:t>April 2020</w:t>
      </w:r>
      <w:bookmarkEnd w:id="22"/>
    </w:p>
    <w:p w14:paraId="63BED51F" w14:textId="3B806CE7" w:rsidR="00A614A2" w:rsidRPr="00A614A2" w:rsidRDefault="00A614A2" w:rsidP="00A614A2">
      <w:pPr>
        <w:pStyle w:val="ListParagraph"/>
        <w:numPr>
          <w:ilvl w:val="0"/>
          <w:numId w:val="4"/>
        </w:numPr>
        <w:spacing w:after="0" w:line="240" w:lineRule="auto"/>
        <w:rPr>
          <w:lang w:val="en-US"/>
        </w:rPr>
      </w:pPr>
      <w:bookmarkStart w:id="23" w:name="_Ref47712924"/>
      <w:r w:rsidRPr="00A614A2">
        <w:rPr>
          <w:lang w:val="en-US"/>
        </w:rPr>
        <w:lastRenderedPageBreak/>
        <w:t>R4-2011215, “</w:t>
      </w:r>
      <w:r>
        <w:rPr>
          <w:rFonts w:ascii="Arial" w:hAnsi="Arial" w:cs="Arial"/>
          <w:color w:val="000000"/>
          <w:sz w:val="18"/>
          <w:szCs w:val="18"/>
        </w:rPr>
        <w:t>CR to TR 37.941: Completion of MU terms for PWS</w:t>
      </w:r>
      <w:r>
        <w:rPr>
          <w:rFonts w:ascii="Arial" w:hAnsi="Arial" w:cs="Arial"/>
          <w:color w:val="000000"/>
          <w:sz w:val="18"/>
          <w:szCs w:val="18"/>
        </w:rPr>
        <w:t xml:space="preserve">“, </w:t>
      </w:r>
      <w:r w:rsidRPr="00CA154F">
        <w:rPr>
          <w:rFonts w:cs="Arial"/>
          <w:lang w:val="en-GB"/>
        </w:rPr>
        <w:t>Rohde &amp; Schwarz,</w:t>
      </w:r>
      <w:r>
        <w:rPr>
          <w:rFonts w:cs="Arial"/>
          <w:lang w:val="en-GB"/>
        </w:rPr>
        <w:t xml:space="preserve"> </w:t>
      </w:r>
      <w:r w:rsidRPr="00A614A2">
        <w:rPr>
          <w:rFonts w:cs="Arial"/>
          <w:lang w:val="en-GB"/>
        </w:rPr>
        <w:t>RAN4#96-e</w:t>
      </w:r>
      <w:r>
        <w:rPr>
          <w:rFonts w:cs="Arial"/>
          <w:lang w:val="en-GB"/>
        </w:rPr>
        <w:t>, August 2020</w:t>
      </w:r>
      <w:bookmarkEnd w:id="23"/>
    </w:p>
    <w:p w14:paraId="17C64EBC" w14:textId="3AB961CC" w:rsidR="006C16F1" w:rsidRPr="00CA154F" w:rsidRDefault="006C16F1" w:rsidP="006C16F1">
      <w:pPr>
        <w:pStyle w:val="ListParagraph"/>
        <w:numPr>
          <w:ilvl w:val="0"/>
          <w:numId w:val="4"/>
        </w:numPr>
        <w:spacing w:after="0" w:line="240" w:lineRule="auto"/>
        <w:rPr>
          <w:lang w:val="en-GB"/>
        </w:rPr>
      </w:pPr>
      <w:r w:rsidRPr="00CA154F">
        <w:rPr>
          <w:lang w:val="en-GB"/>
        </w:rPr>
        <w:t xml:space="preserve">R.  Haupt,  </w:t>
      </w:r>
      <w:r w:rsidR="00FC0201" w:rsidRPr="00CA154F">
        <w:rPr>
          <w:lang w:val="en-GB"/>
        </w:rPr>
        <w:t>“</w:t>
      </w:r>
      <w:r w:rsidRPr="00CA154F">
        <w:rPr>
          <w:lang w:val="en-GB"/>
        </w:rPr>
        <w:t>Generating  a  Plane  Wave  in  the  Near  Field  with  a  Planar Array Antenna</w:t>
      </w:r>
      <w:r w:rsidR="00FC0201" w:rsidRPr="00CA154F">
        <w:rPr>
          <w:lang w:val="en-GB"/>
        </w:rPr>
        <w:t>”</w:t>
      </w:r>
      <w:r w:rsidRPr="00CA154F">
        <w:rPr>
          <w:lang w:val="en-GB"/>
        </w:rPr>
        <w:t>, Microwave Journal, September 2003</w:t>
      </w:r>
    </w:p>
    <w:p w14:paraId="2DC752C5" w14:textId="77777777" w:rsidR="006C16F1" w:rsidRPr="00CA154F" w:rsidRDefault="006C16F1" w:rsidP="006C16F1">
      <w:pPr>
        <w:pStyle w:val="ListParagraph"/>
        <w:numPr>
          <w:ilvl w:val="0"/>
          <w:numId w:val="4"/>
        </w:numPr>
        <w:spacing w:after="0" w:line="240" w:lineRule="auto"/>
        <w:rPr>
          <w:lang w:val="en-GB"/>
        </w:rPr>
      </w:pPr>
      <w:r w:rsidRPr="00CA154F">
        <w:rPr>
          <w:lang w:val="en-GB"/>
        </w:rPr>
        <w:t>C. Rowell, A. Tankielun, “Plane Wave Converter for 5G Massive MIMO Basestation Measurements”, the 12th European Conference on Antennas and Propagation (EuCAP2018), London, UK, 9 - 13 April, 2018</w:t>
      </w:r>
    </w:p>
    <w:p w14:paraId="2456987B" w14:textId="671CB19B" w:rsidR="00FA477A" w:rsidRPr="00CA154F" w:rsidRDefault="006C16F1" w:rsidP="006C16F1">
      <w:pPr>
        <w:pStyle w:val="ListParagraph"/>
        <w:numPr>
          <w:ilvl w:val="0"/>
          <w:numId w:val="4"/>
        </w:numPr>
        <w:spacing w:after="0" w:line="240" w:lineRule="auto"/>
        <w:rPr>
          <w:lang w:val="en-GB"/>
        </w:rPr>
      </w:pPr>
      <w:r w:rsidRPr="00CA154F">
        <w:rPr>
          <w:lang w:val="en-GB"/>
        </w:rPr>
        <w:t>B. Derat, “Creating Far-field Condition at a Tenth of Far-field Distance: An Innovative Technique for 5G OTA measurement”, Electronic Design Innovation Conference (EDICON), Beijing, China, 20 – 22 March, 2018</w:t>
      </w:r>
      <w:bookmarkEnd w:id="1"/>
      <w:bookmarkEnd w:id="2"/>
    </w:p>
    <w:sectPr w:rsidR="00FA477A" w:rsidRPr="00CA154F" w:rsidSect="003838EA">
      <w:footerReference w:type="defaul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71168" w14:textId="77777777" w:rsidR="00856FEC" w:rsidRDefault="00856FEC" w:rsidP="00371D7D">
      <w:r>
        <w:separator/>
      </w:r>
    </w:p>
  </w:endnote>
  <w:endnote w:type="continuationSeparator" w:id="0">
    <w:p w14:paraId="65C0ECE8" w14:textId="77777777" w:rsidR="00856FEC" w:rsidRDefault="00856FE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2A7D05E3" w:rsidR="009700B0" w:rsidRPr="000E7B1E" w:rsidRDefault="009700B0" w:rsidP="00D81F96">
    <w:pPr>
      <w:pStyle w:val="Footer"/>
    </w:pPr>
    <w:r>
      <w:rPr>
        <w:noProof w:val="0"/>
      </w:rPr>
      <w:t xml:space="preserve">Page </w:t>
    </w:r>
    <w:r>
      <w:fldChar w:fldCharType="begin"/>
    </w:r>
    <w:r>
      <w:instrText xml:space="preserve"> PAGE   \* MERGEFORMAT </w:instrText>
    </w:r>
    <w:r>
      <w:fldChar w:fldCharType="separate"/>
    </w:r>
    <w:r w:rsidR="003645D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AC3D3" w14:textId="77777777" w:rsidR="00856FEC" w:rsidRDefault="00856FEC" w:rsidP="00371D7D">
      <w:r>
        <w:separator/>
      </w:r>
    </w:p>
  </w:footnote>
  <w:footnote w:type="continuationSeparator" w:id="0">
    <w:p w14:paraId="70BD202A" w14:textId="77777777" w:rsidR="00856FEC" w:rsidRDefault="00856FE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BA6609"/>
    <w:multiLevelType w:val="hybridMultilevel"/>
    <w:tmpl w:val="5ADC085C"/>
    <w:lvl w:ilvl="0" w:tplc="C492C464">
      <w:start w:val="78"/>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5"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10"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19"/>
    <w:multiLevelType w:val="hybridMultilevel"/>
    <w:tmpl w:val="0C4C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1630E"/>
    <w:multiLevelType w:val="hybridMultilevel"/>
    <w:tmpl w:val="7FDC928A"/>
    <w:lvl w:ilvl="0" w:tplc="D0BE9188">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A2C86"/>
    <w:multiLevelType w:val="hybridMultilevel"/>
    <w:tmpl w:val="8A8464EE"/>
    <w:lvl w:ilvl="0" w:tplc="8F648AAE">
      <w:start w:val="1"/>
      <w:numFmt w:val="bullet"/>
      <w:lvlText w:val="ı"/>
      <w:lvlJc w:val="left"/>
      <w:pPr>
        <w:tabs>
          <w:tab w:val="num" w:pos="-1224"/>
        </w:tabs>
        <w:ind w:left="-1224" w:hanging="360"/>
      </w:pPr>
      <w:rPr>
        <w:rFonts w:ascii="Arial Black" w:hAnsi="Arial Black"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abstractNum w:abstractNumId="19" w15:restartNumberingAfterBreak="0">
    <w:nsid w:val="759355A7"/>
    <w:multiLevelType w:val="hybridMultilevel"/>
    <w:tmpl w:val="49F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3"/>
  </w:num>
  <w:num w:numId="4">
    <w:abstractNumId w:val="6"/>
  </w:num>
  <w:num w:numId="5">
    <w:abstractNumId w:val="12"/>
  </w:num>
  <w:num w:numId="6">
    <w:abstractNumId w:val="8"/>
  </w:num>
  <w:num w:numId="7">
    <w:abstractNumId w:val="14"/>
  </w:num>
  <w:num w:numId="8">
    <w:abstractNumId w:val="9"/>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7"/>
  </w:num>
  <w:num w:numId="10">
    <w:abstractNumId w:val="3"/>
  </w:num>
  <w:num w:numId="11">
    <w:abstractNumId w:val="10"/>
  </w:num>
  <w:num w:numId="12">
    <w:abstractNumId w:val="5"/>
  </w:num>
  <w:num w:numId="13">
    <w:abstractNumId w:val="11"/>
  </w:num>
  <w:num w:numId="14">
    <w:abstractNumId w:val="15"/>
  </w:num>
  <w:num w:numId="15">
    <w:abstractNumId w:val="1"/>
  </w:num>
  <w:num w:numId="16">
    <w:abstractNumId w:val="7"/>
  </w:num>
  <w:num w:numId="17">
    <w:abstractNumId w:val="7"/>
  </w:num>
  <w:num w:numId="18">
    <w:abstractNumId w:val="7"/>
  </w:num>
  <w:num w:numId="19">
    <w:abstractNumId w:val="7"/>
  </w:num>
  <w:num w:numId="20">
    <w:abstractNumId w:val="2"/>
  </w:num>
  <w:num w:numId="21">
    <w:abstractNumId w:val="18"/>
  </w:num>
  <w:num w:numId="22">
    <w:abstractNumId w:val="13"/>
  </w:num>
  <w:num w:numId="23">
    <w:abstractNumId w:val="0"/>
  </w:num>
  <w:num w:numId="24">
    <w:abstractNumId w:val="3"/>
  </w:num>
  <w:num w:numId="25">
    <w:abstractNumId w:val="7"/>
  </w:num>
  <w:num w:numId="26">
    <w:abstractNumId w:val="4"/>
  </w:num>
  <w:num w:numId="27">
    <w:abstractNumId w:val="3"/>
  </w:num>
  <w:num w:numId="28">
    <w:abstractNumId w:val="3"/>
  </w:num>
  <w:num w:numId="29">
    <w:abstractNumId w:val="3"/>
  </w:num>
  <w:num w:numId="30">
    <w:abstractNumId w:val="3"/>
  </w:num>
  <w:num w:numId="31">
    <w:abstractNumId w:val="17"/>
  </w:num>
  <w:num w:numId="3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1782"/>
    <w:rsid w:val="00044187"/>
    <w:rsid w:val="0004547C"/>
    <w:rsid w:val="0004698F"/>
    <w:rsid w:val="00047428"/>
    <w:rsid w:val="00047E75"/>
    <w:rsid w:val="0006221F"/>
    <w:rsid w:val="00063C4D"/>
    <w:rsid w:val="000652BE"/>
    <w:rsid w:val="00065304"/>
    <w:rsid w:val="0006555A"/>
    <w:rsid w:val="00065B4E"/>
    <w:rsid w:val="00072CF5"/>
    <w:rsid w:val="000737B1"/>
    <w:rsid w:val="00075135"/>
    <w:rsid w:val="000762B7"/>
    <w:rsid w:val="00076748"/>
    <w:rsid w:val="00076F79"/>
    <w:rsid w:val="000776DE"/>
    <w:rsid w:val="000814E4"/>
    <w:rsid w:val="00081C35"/>
    <w:rsid w:val="000828B5"/>
    <w:rsid w:val="00082A5B"/>
    <w:rsid w:val="00083B5F"/>
    <w:rsid w:val="00090AB8"/>
    <w:rsid w:val="00092148"/>
    <w:rsid w:val="00092C97"/>
    <w:rsid w:val="00096AAF"/>
    <w:rsid w:val="000A0514"/>
    <w:rsid w:val="000A0FDE"/>
    <w:rsid w:val="000A262C"/>
    <w:rsid w:val="000A2FB0"/>
    <w:rsid w:val="000A3642"/>
    <w:rsid w:val="000A6628"/>
    <w:rsid w:val="000B0F54"/>
    <w:rsid w:val="000B2981"/>
    <w:rsid w:val="000B3006"/>
    <w:rsid w:val="000B3739"/>
    <w:rsid w:val="000B663A"/>
    <w:rsid w:val="000B7597"/>
    <w:rsid w:val="000B7FC7"/>
    <w:rsid w:val="000C194F"/>
    <w:rsid w:val="000C2BDD"/>
    <w:rsid w:val="000C310E"/>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6C98"/>
    <w:rsid w:val="0010792C"/>
    <w:rsid w:val="00107C63"/>
    <w:rsid w:val="001102C9"/>
    <w:rsid w:val="00110B13"/>
    <w:rsid w:val="001112F3"/>
    <w:rsid w:val="001114C1"/>
    <w:rsid w:val="00112164"/>
    <w:rsid w:val="001137DA"/>
    <w:rsid w:val="0011436A"/>
    <w:rsid w:val="001147B0"/>
    <w:rsid w:val="00114995"/>
    <w:rsid w:val="00115455"/>
    <w:rsid w:val="00116DFF"/>
    <w:rsid w:val="001178F0"/>
    <w:rsid w:val="00117F9C"/>
    <w:rsid w:val="00123745"/>
    <w:rsid w:val="00125591"/>
    <w:rsid w:val="001255A3"/>
    <w:rsid w:val="001269B5"/>
    <w:rsid w:val="00126CE6"/>
    <w:rsid w:val="00126F41"/>
    <w:rsid w:val="00126F62"/>
    <w:rsid w:val="00132BDD"/>
    <w:rsid w:val="001339FF"/>
    <w:rsid w:val="001378A7"/>
    <w:rsid w:val="0015068F"/>
    <w:rsid w:val="00151633"/>
    <w:rsid w:val="001526E5"/>
    <w:rsid w:val="001530C0"/>
    <w:rsid w:val="00153604"/>
    <w:rsid w:val="001553DE"/>
    <w:rsid w:val="0015692F"/>
    <w:rsid w:val="001617AA"/>
    <w:rsid w:val="00162228"/>
    <w:rsid w:val="0016379A"/>
    <w:rsid w:val="00164040"/>
    <w:rsid w:val="00164B67"/>
    <w:rsid w:val="00167CAD"/>
    <w:rsid w:val="00167FB4"/>
    <w:rsid w:val="00170838"/>
    <w:rsid w:val="00170F3C"/>
    <w:rsid w:val="0017275D"/>
    <w:rsid w:val="00172D17"/>
    <w:rsid w:val="00173532"/>
    <w:rsid w:val="00173AFB"/>
    <w:rsid w:val="001747B0"/>
    <w:rsid w:val="00174ED5"/>
    <w:rsid w:val="00176658"/>
    <w:rsid w:val="00176791"/>
    <w:rsid w:val="00180379"/>
    <w:rsid w:val="00180494"/>
    <w:rsid w:val="00180687"/>
    <w:rsid w:val="001810A2"/>
    <w:rsid w:val="00184003"/>
    <w:rsid w:val="00193A32"/>
    <w:rsid w:val="001944C6"/>
    <w:rsid w:val="001951B0"/>
    <w:rsid w:val="001A042A"/>
    <w:rsid w:val="001A0F3C"/>
    <w:rsid w:val="001A2E0D"/>
    <w:rsid w:val="001B0670"/>
    <w:rsid w:val="001B0742"/>
    <w:rsid w:val="001B137F"/>
    <w:rsid w:val="001B2191"/>
    <w:rsid w:val="001B38BA"/>
    <w:rsid w:val="001C0304"/>
    <w:rsid w:val="001C0307"/>
    <w:rsid w:val="001C0EA6"/>
    <w:rsid w:val="001C1D01"/>
    <w:rsid w:val="001C2408"/>
    <w:rsid w:val="001C4E17"/>
    <w:rsid w:val="001C6A9C"/>
    <w:rsid w:val="001C766E"/>
    <w:rsid w:val="001D1D1A"/>
    <w:rsid w:val="001D27CE"/>
    <w:rsid w:val="001D369F"/>
    <w:rsid w:val="001D5A32"/>
    <w:rsid w:val="001D78E4"/>
    <w:rsid w:val="001E0014"/>
    <w:rsid w:val="001E0A0B"/>
    <w:rsid w:val="001E0E97"/>
    <w:rsid w:val="001E190C"/>
    <w:rsid w:val="001E30F0"/>
    <w:rsid w:val="001E540B"/>
    <w:rsid w:val="001E5776"/>
    <w:rsid w:val="001E6E32"/>
    <w:rsid w:val="001E73BE"/>
    <w:rsid w:val="001E7B76"/>
    <w:rsid w:val="001F0673"/>
    <w:rsid w:val="001F0CCE"/>
    <w:rsid w:val="001F20DA"/>
    <w:rsid w:val="001F4112"/>
    <w:rsid w:val="001F4E39"/>
    <w:rsid w:val="001F506E"/>
    <w:rsid w:val="001F5452"/>
    <w:rsid w:val="001F6CC0"/>
    <w:rsid w:val="00206F1C"/>
    <w:rsid w:val="002101B8"/>
    <w:rsid w:val="00210BB9"/>
    <w:rsid w:val="002119D0"/>
    <w:rsid w:val="00211B0D"/>
    <w:rsid w:val="00213151"/>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708"/>
    <w:rsid w:val="00242A1D"/>
    <w:rsid w:val="0024490F"/>
    <w:rsid w:val="0024790C"/>
    <w:rsid w:val="0025085A"/>
    <w:rsid w:val="00250903"/>
    <w:rsid w:val="00251FDB"/>
    <w:rsid w:val="00252AE0"/>
    <w:rsid w:val="002548E2"/>
    <w:rsid w:val="00255A8A"/>
    <w:rsid w:val="00257251"/>
    <w:rsid w:val="00260358"/>
    <w:rsid w:val="002634DB"/>
    <w:rsid w:val="0026652B"/>
    <w:rsid w:val="00267392"/>
    <w:rsid w:val="002674A8"/>
    <w:rsid w:val="002700B4"/>
    <w:rsid w:val="0027049D"/>
    <w:rsid w:val="002759B6"/>
    <w:rsid w:val="00276F00"/>
    <w:rsid w:val="00281F3F"/>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0FF8"/>
    <w:rsid w:val="002A134F"/>
    <w:rsid w:val="002A2AB2"/>
    <w:rsid w:val="002A2FEC"/>
    <w:rsid w:val="002A58FD"/>
    <w:rsid w:val="002A6297"/>
    <w:rsid w:val="002A659B"/>
    <w:rsid w:val="002B1072"/>
    <w:rsid w:val="002B111A"/>
    <w:rsid w:val="002B3C4B"/>
    <w:rsid w:val="002B5523"/>
    <w:rsid w:val="002B5708"/>
    <w:rsid w:val="002B5F65"/>
    <w:rsid w:val="002B7900"/>
    <w:rsid w:val="002C098B"/>
    <w:rsid w:val="002C3A4F"/>
    <w:rsid w:val="002C48E9"/>
    <w:rsid w:val="002C709D"/>
    <w:rsid w:val="002C75A4"/>
    <w:rsid w:val="002D0C60"/>
    <w:rsid w:val="002D3252"/>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298"/>
    <w:rsid w:val="00315F9F"/>
    <w:rsid w:val="00316256"/>
    <w:rsid w:val="00316376"/>
    <w:rsid w:val="00316F3F"/>
    <w:rsid w:val="003200D8"/>
    <w:rsid w:val="00320422"/>
    <w:rsid w:val="00322466"/>
    <w:rsid w:val="00325E32"/>
    <w:rsid w:val="0032672D"/>
    <w:rsid w:val="003300C3"/>
    <w:rsid w:val="00330686"/>
    <w:rsid w:val="003321C2"/>
    <w:rsid w:val="00332D69"/>
    <w:rsid w:val="003344C4"/>
    <w:rsid w:val="00334F04"/>
    <w:rsid w:val="00335422"/>
    <w:rsid w:val="003359BD"/>
    <w:rsid w:val="0033631F"/>
    <w:rsid w:val="003434B3"/>
    <w:rsid w:val="00344B2B"/>
    <w:rsid w:val="00347B51"/>
    <w:rsid w:val="0035204A"/>
    <w:rsid w:val="0036038D"/>
    <w:rsid w:val="003607C5"/>
    <w:rsid w:val="003608E0"/>
    <w:rsid w:val="003645D2"/>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900C2"/>
    <w:rsid w:val="00396C71"/>
    <w:rsid w:val="003A16D1"/>
    <w:rsid w:val="003A1D27"/>
    <w:rsid w:val="003A575F"/>
    <w:rsid w:val="003A66EB"/>
    <w:rsid w:val="003A7774"/>
    <w:rsid w:val="003B0595"/>
    <w:rsid w:val="003B0EF9"/>
    <w:rsid w:val="003B1E3D"/>
    <w:rsid w:val="003B1E95"/>
    <w:rsid w:val="003B4147"/>
    <w:rsid w:val="003B4C4E"/>
    <w:rsid w:val="003B5223"/>
    <w:rsid w:val="003B5543"/>
    <w:rsid w:val="003B6518"/>
    <w:rsid w:val="003B7288"/>
    <w:rsid w:val="003C1CA1"/>
    <w:rsid w:val="003C3D66"/>
    <w:rsid w:val="003C4DDA"/>
    <w:rsid w:val="003C5B3F"/>
    <w:rsid w:val="003D0E5C"/>
    <w:rsid w:val="003D3FB9"/>
    <w:rsid w:val="003D51E6"/>
    <w:rsid w:val="003D529C"/>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4F3"/>
    <w:rsid w:val="00422D63"/>
    <w:rsid w:val="00423201"/>
    <w:rsid w:val="004237A9"/>
    <w:rsid w:val="004257E2"/>
    <w:rsid w:val="0043036D"/>
    <w:rsid w:val="004324FB"/>
    <w:rsid w:val="004325A5"/>
    <w:rsid w:val="00432B40"/>
    <w:rsid w:val="004340EB"/>
    <w:rsid w:val="00434839"/>
    <w:rsid w:val="004372AD"/>
    <w:rsid w:val="0044133D"/>
    <w:rsid w:val="00442027"/>
    <w:rsid w:val="00445AC3"/>
    <w:rsid w:val="00445FD4"/>
    <w:rsid w:val="004460ED"/>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6551"/>
    <w:rsid w:val="00477362"/>
    <w:rsid w:val="00477BB8"/>
    <w:rsid w:val="00480E62"/>
    <w:rsid w:val="004812E1"/>
    <w:rsid w:val="00481B3C"/>
    <w:rsid w:val="004858E1"/>
    <w:rsid w:val="0048673D"/>
    <w:rsid w:val="00487F95"/>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B5412"/>
    <w:rsid w:val="004B682C"/>
    <w:rsid w:val="004C0EA3"/>
    <w:rsid w:val="004C2D34"/>
    <w:rsid w:val="004C6EB0"/>
    <w:rsid w:val="004D2783"/>
    <w:rsid w:val="004D2DCF"/>
    <w:rsid w:val="004D54FF"/>
    <w:rsid w:val="004D74F3"/>
    <w:rsid w:val="004E1C4C"/>
    <w:rsid w:val="004E1ED2"/>
    <w:rsid w:val="004E2925"/>
    <w:rsid w:val="004E3358"/>
    <w:rsid w:val="004E3BCC"/>
    <w:rsid w:val="004E4907"/>
    <w:rsid w:val="004E5B2D"/>
    <w:rsid w:val="004E6793"/>
    <w:rsid w:val="004F00C8"/>
    <w:rsid w:val="004F0412"/>
    <w:rsid w:val="004F17EE"/>
    <w:rsid w:val="004F27A7"/>
    <w:rsid w:val="004F2BF4"/>
    <w:rsid w:val="004F36A7"/>
    <w:rsid w:val="004F4D21"/>
    <w:rsid w:val="004F593F"/>
    <w:rsid w:val="004F697D"/>
    <w:rsid w:val="004F7D0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6E2"/>
    <w:rsid w:val="00530726"/>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4D8"/>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5E8E"/>
    <w:rsid w:val="005C70F1"/>
    <w:rsid w:val="005C7FBB"/>
    <w:rsid w:val="005D0416"/>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3ED"/>
    <w:rsid w:val="0062365D"/>
    <w:rsid w:val="00623664"/>
    <w:rsid w:val="00626288"/>
    <w:rsid w:val="00627053"/>
    <w:rsid w:val="006276EE"/>
    <w:rsid w:val="00630334"/>
    <w:rsid w:val="0063332F"/>
    <w:rsid w:val="00633773"/>
    <w:rsid w:val="0063395B"/>
    <w:rsid w:val="00635940"/>
    <w:rsid w:val="006366AD"/>
    <w:rsid w:val="00640E01"/>
    <w:rsid w:val="00641EC6"/>
    <w:rsid w:val="00645237"/>
    <w:rsid w:val="006466C9"/>
    <w:rsid w:val="00652517"/>
    <w:rsid w:val="00654178"/>
    <w:rsid w:val="00656DEA"/>
    <w:rsid w:val="00657198"/>
    <w:rsid w:val="0066196E"/>
    <w:rsid w:val="00664F1A"/>
    <w:rsid w:val="00667A9C"/>
    <w:rsid w:val="00674D96"/>
    <w:rsid w:val="00675624"/>
    <w:rsid w:val="00677DE2"/>
    <w:rsid w:val="00680FDD"/>
    <w:rsid w:val="00682781"/>
    <w:rsid w:val="0068305A"/>
    <w:rsid w:val="00683E9D"/>
    <w:rsid w:val="00684FC7"/>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34DE"/>
    <w:rsid w:val="006B41BC"/>
    <w:rsid w:val="006B42F9"/>
    <w:rsid w:val="006B508B"/>
    <w:rsid w:val="006B7575"/>
    <w:rsid w:val="006C049B"/>
    <w:rsid w:val="006C1445"/>
    <w:rsid w:val="006C16F1"/>
    <w:rsid w:val="006C388F"/>
    <w:rsid w:val="006C4E24"/>
    <w:rsid w:val="006C60BB"/>
    <w:rsid w:val="006C6ACE"/>
    <w:rsid w:val="006C73AA"/>
    <w:rsid w:val="006C74FF"/>
    <w:rsid w:val="006D14FC"/>
    <w:rsid w:val="006D3FD0"/>
    <w:rsid w:val="006D46B5"/>
    <w:rsid w:val="006E1A7C"/>
    <w:rsid w:val="006E1D64"/>
    <w:rsid w:val="006E2F6A"/>
    <w:rsid w:val="006E4F64"/>
    <w:rsid w:val="006E5BCE"/>
    <w:rsid w:val="006E6577"/>
    <w:rsid w:val="006E7C54"/>
    <w:rsid w:val="006F1D3A"/>
    <w:rsid w:val="006F2C16"/>
    <w:rsid w:val="006F4D66"/>
    <w:rsid w:val="006F563A"/>
    <w:rsid w:val="006F73CF"/>
    <w:rsid w:val="006F7C37"/>
    <w:rsid w:val="0070104D"/>
    <w:rsid w:val="00706CB9"/>
    <w:rsid w:val="00707FFC"/>
    <w:rsid w:val="007110BC"/>
    <w:rsid w:val="00712BF6"/>
    <w:rsid w:val="007138CB"/>
    <w:rsid w:val="007174F8"/>
    <w:rsid w:val="00720003"/>
    <w:rsid w:val="00720FB7"/>
    <w:rsid w:val="007227BC"/>
    <w:rsid w:val="007233B2"/>
    <w:rsid w:val="00724558"/>
    <w:rsid w:val="007246E4"/>
    <w:rsid w:val="0072514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727"/>
    <w:rsid w:val="00757D7D"/>
    <w:rsid w:val="00761AED"/>
    <w:rsid w:val="007636DE"/>
    <w:rsid w:val="007659E7"/>
    <w:rsid w:val="00765F55"/>
    <w:rsid w:val="007706D0"/>
    <w:rsid w:val="00773BDA"/>
    <w:rsid w:val="00773C96"/>
    <w:rsid w:val="00773DCA"/>
    <w:rsid w:val="007742E7"/>
    <w:rsid w:val="007744CF"/>
    <w:rsid w:val="00776D6B"/>
    <w:rsid w:val="007827F7"/>
    <w:rsid w:val="007842C7"/>
    <w:rsid w:val="007870F5"/>
    <w:rsid w:val="00787AFB"/>
    <w:rsid w:val="007927C1"/>
    <w:rsid w:val="00793EA4"/>
    <w:rsid w:val="007944C3"/>
    <w:rsid w:val="0079482D"/>
    <w:rsid w:val="00797969"/>
    <w:rsid w:val="007A0E5B"/>
    <w:rsid w:val="007A422E"/>
    <w:rsid w:val="007A5F31"/>
    <w:rsid w:val="007A68E2"/>
    <w:rsid w:val="007A69DE"/>
    <w:rsid w:val="007A7270"/>
    <w:rsid w:val="007B0207"/>
    <w:rsid w:val="007B0569"/>
    <w:rsid w:val="007B0D29"/>
    <w:rsid w:val="007B1E81"/>
    <w:rsid w:val="007B22D8"/>
    <w:rsid w:val="007B31D4"/>
    <w:rsid w:val="007B35F6"/>
    <w:rsid w:val="007B36E6"/>
    <w:rsid w:val="007B49AC"/>
    <w:rsid w:val="007B6733"/>
    <w:rsid w:val="007B67D4"/>
    <w:rsid w:val="007B6ADB"/>
    <w:rsid w:val="007C0E2A"/>
    <w:rsid w:val="007C221F"/>
    <w:rsid w:val="007C338C"/>
    <w:rsid w:val="007C6CC6"/>
    <w:rsid w:val="007C7077"/>
    <w:rsid w:val="007C7AEC"/>
    <w:rsid w:val="007D15F5"/>
    <w:rsid w:val="007D35D4"/>
    <w:rsid w:val="007D4BD9"/>
    <w:rsid w:val="007D5E79"/>
    <w:rsid w:val="007D632A"/>
    <w:rsid w:val="007E144D"/>
    <w:rsid w:val="007E1A21"/>
    <w:rsid w:val="007E29DD"/>
    <w:rsid w:val="007E2EBC"/>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46EC"/>
    <w:rsid w:val="00846CBA"/>
    <w:rsid w:val="00856390"/>
    <w:rsid w:val="00856FEC"/>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552"/>
    <w:rsid w:val="00882F18"/>
    <w:rsid w:val="00887996"/>
    <w:rsid w:val="008919FA"/>
    <w:rsid w:val="00894205"/>
    <w:rsid w:val="008948CA"/>
    <w:rsid w:val="008966F6"/>
    <w:rsid w:val="008A3CB8"/>
    <w:rsid w:val="008A4135"/>
    <w:rsid w:val="008A4ACE"/>
    <w:rsid w:val="008A4F4D"/>
    <w:rsid w:val="008A520C"/>
    <w:rsid w:val="008A5259"/>
    <w:rsid w:val="008A7ABB"/>
    <w:rsid w:val="008B0514"/>
    <w:rsid w:val="008B12D0"/>
    <w:rsid w:val="008B3E44"/>
    <w:rsid w:val="008B4257"/>
    <w:rsid w:val="008B6859"/>
    <w:rsid w:val="008B7827"/>
    <w:rsid w:val="008B7853"/>
    <w:rsid w:val="008C142D"/>
    <w:rsid w:val="008C1DA5"/>
    <w:rsid w:val="008C2395"/>
    <w:rsid w:val="008C27DF"/>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16BA"/>
    <w:rsid w:val="008F28BE"/>
    <w:rsid w:val="008F3E4A"/>
    <w:rsid w:val="008F4F09"/>
    <w:rsid w:val="008F5836"/>
    <w:rsid w:val="008F6239"/>
    <w:rsid w:val="008F6BB4"/>
    <w:rsid w:val="008F7FE8"/>
    <w:rsid w:val="00911FD9"/>
    <w:rsid w:val="00912CC8"/>
    <w:rsid w:val="00914141"/>
    <w:rsid w:val="00916784"/>
    <w:rsid w:val="00916934"/>
    <w:rsid w:val="009221F1"/>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1CD"/>
    <w:rsid w:val="0096169A"/>
    <w:rsid w:val="00962E59"/>
    <w:rsid w:val="0096309E"/>
    <w:rsid w:val="009657E8"/>
    <w:rsid w:val="00965D58"/>
    <w:rsid w:val="00966E9B"/>
    <w:rsid w:val="009700B0"/>
    <w:rsid w:val="0097392B"/>
    <w:rsid w:val="009746F4"/>
    <w:rsid w:val="00974B95"/>
    <w:rsid w:val="009750F0"/>
    <w:rsid w:val="0097543A"/>
    <w:rsid w:val="00975F20"/>
    <w:rsid w:val="00976B03"/>
    <w:rsid w:val="00980DB1"/>
    <w:rsid w:val="0098326C"/>
    <w:rsid w:val="00984C8B"/>
    <w:rsid w:val="009863CE"/>
    <w:rsid w:val="0098722B"/>
    <w:rsid w:val="00987740"/>
    <w:rsid w:val="00987C1F"/>
    <w:rsid w:val="009926B6"/>
    <w:rsid w:val="0099496E"/>
    <w:rsid w:val="00997680"/>
    <w:rsid w:val="00997704"/>
    <w:rsid w:val="009A0E93"/>
    <w:rsid w:val="009A1270"/>
    <w:rsid w:val="009A17C4"/>
    <w:rsid w:val="009A525D"/>
    <w:rsid w:val="009A5C31"/>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2B0E"/>
    <w:rsid w:val="009F31B9"/>
    <w:rsid w:val="009F4F0A"/>
    <w:rsid w:val="009F71B3"/>
    <w:rsid w:val="009F7963"/>
    <w:rsid w:val="00A01054"/>
    <w:rsid w:val="00A02E39"/>
    <w:rsid w:val="00A04379"/>
    <w:rsid w:val="00A04558"/>
    <w:rsid w:val="00A04F9C"/>
    <w:rsid w:val="00A0759F"/>
    <w:rsid w:val="00A130E4"/>
    <w:rsid w:val="00A14EBC"/>
    <w:rsid w:val="00A15983"/>
    <w:rsid w:val="00A23325"/>
    <w:rsid w:val="00A24150"/>
    <w:rsid w:val="00A32070"/>
    <w:rsid w:val="00A338EC"/>
    <w:rsid w:val="00A33D3A"/>
    <w:rsid w:val="00A353DC"/>
    <w:rsid w:val="00A40BA0"/>
    <w:rsid w:val="00A42596"/>
    <w:rsid w:val="00A43DCF"/>
    <w:rsid w:val="00A44C02"/>
    <w:rsid w:val="00A4537F"/>
    <w:rsid w:val="00A4764B"/>
    <w:rsid w:val="00A5075E"/>
    <w:rsid w:val="00A524D0"/>
    <w:rsid w:val="00A55AF2"/>
    <w:rsid w:val="00A57C7C"/>
    <w:rsid w:val="00A60934"/>
    <w:rsid w:val="00A60BB4"/>
    <w:rsid w:val="00A614A2"/>
    <w:rsid w:val="00A62362"/>
    <w:rsid w:val="00A63A28"/>
    <w:rsid w:val="00A644A5"/>
    <w:rsid w:val="00A64C86"/>
    <w:rsid w:val="00A67985"/>
    <w:rsid w:val="00A6798F"/>
    <w:rsid w:val="00A7325E"/>
    <w:rsid w:val="00A76DBE"/>
    <w:rsid w:val="00A777EC"/>
    <w:rsid w:val="00A80346"/>
    <w:rsid w:val="00A824ED"/>
    <w:rsid w:val="00A8311E"/>
    <w:rsid w:val="00A83E34"/>
    <w:rsid w:val="00A86604"/>
    <w:rsid w:val="00A87C7B"/>
    <w:rsid w:val="00A90FCA"/>
    <w:rsid w:val="00A938DE"/>
    <w:rsid w:val="00A95090"/>
    <w:rsid w:val="00A9514D"/>
    <w:rsid w:val="00A96690"/>
    <w:rsid w:val="00A97BF8"/>
    <w:rsid w:val="00AA04CC"/>
    <w:rsid w:val="00AA0D07"/>
    <w:rsid w:val="00AA0F9B"/>
    <w:rsid w:val="00AA1DE0"/>
    <w:rsid w:val="00AA3AF8"/>
    <w:rsid w:val="00AA66CB"/>
    <w:rsid w:val="00AA7167"/>
    <w:rsid w:val="00AB01A5"/>
    <w:rsid w:val="00AB034A"/>
    <w:rsid w:val="00AB0D1B"/>
    <w:rsid w:val="00AB16B4"/>
    <w:rsid w:val="00AB16E7"/>
    <w:rsid w:val="00AB263D"/>
    <w:rsid w:val="00AB2BBC"/>
    <w:rsid w:val="00AB3CDD"/>
    <w:rsid w:val="00AB4ACC"/>
    <w:rsid w:val="00AB537D"/>
    <w:rsid w:val="00AB5616"/>
    <w:rsid w:val="00AB5D07"/>
    <w:rsid w:val="00AB79E4"/>
    <w:rsid w:val="00AB7EB0"/>
    <w:rsid w:val="00AC4279"/>
    <w:rsid w:val="00AC51D3"/>
    <w:rsid w:val="00AC5870"/>
    <w:rsid w:val="00AC78CA"/>
    <w:rsid w:val="00AC7A82"/>
    <w:rsid w:val="00AD1373"/>
    <w:rsid w:val="00AD1FA2"/>
    <w:rsid w:val="00AD2B85"/>
    <w:rsid w:val="00AD59A0"/>
    <w:rsid w:val="00AE0DAA"/>
    <w:rsid w:val="00AE18A0"/>
    <w:rsid w:val="00AE376A"/>
    <w:rsid w:val="00AE4566"/>
    <w:rsid w:val="00AE73D9"/>
    <w:rsid w:val="00AF0048"/>
    <w:rsid w:val="00AF2004"/>
    <w:rsid w:val="00AF4D77"/>
    <w:rsid w:val="00AF60AE"/>
    <w:rsid w:val="00AF6DBB"/>
    <w:rsid w:val="00B050D3"/>
    <w:rsid w:val="00B05ACB"/>
    <w:rsid w:val="00B05B25"/>
    <w:rsid w:val="00B10F2D"/>
    <w:rsid w:val="00B11E41"/>
    <w:rsid w:val="00B13078"/>
    <w:rsid w:val="00B130F2"/>
    <w:rsid w:val="00B1538B"/>
    <w:rsid w:val="00B1788D"/>
    <w:rsid w:val="00B206F3"/>
    <w:rsid w:val="00B20B88"/>
    <w:rsid w:val="00B2126A"/>
    <w:rsid w:val="00B23EB2"/>
    <w:rsid w:val="00B240D0"/>
    <w:rsid w:val="00B277E9"/>
    <w:rsid w:val="00B27923"/>
    <w:rsid w:val="00B30F45"/>
    <w:rsid w:val="00B319AF"/>
    <w:rsid w:val="00B31F06"/>
    <w:rsid w:val="00B32495"/>
    <w:rsid w:val="00B33498"/>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06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A5DC5"/>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D7F49"/>
    <w:rsid w:val="00BE29DD"/>
    <w:rsid w:val="00BE5364"/>
    <w:rsid w:val="00BF1935"/>
    <w:rsid w:val="00BF268B"/>
    <w:rsid w:val="00BF416C"/>
    <w:rsid w:val="00BF525D"/>
    <w:rsid w:val="00BF7A2F"/>
    <w:rsid w:val="00C0043D"/>
    <w:rsid w:val="00C006B0"/>
    <w:rsid w:val="00C0127E"/>
    <w:rsid w:val="00C02E85"/>
    <w:rsid w:val="00C04CEB"/>
    <w:rsid w:val="00C066DF"/>
    <w:rsid w:val="00C074A2"/>
    <w:rsid w:val="00C112CE"/>
    <w:rsid w:val="00C142E1"/>
    <w:rsid w:val="00C14F5D"/>
    <w:rsid w:val="00C17F16"/>
    <w:rsid w:val="00C22CBC"/>
    <w:rsid w:val="00C24153"/>
    <w:rsid w:val="00C25111"/>
    <w:rsid w:val="00C253B8"/>
    <w:rsid w:val="00C26AD4"/>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1BB5"/>
    <w:rsid w:val="00C62A0A"/>
    <w:rsid w:val="00C6340E"/>
    <w:rsid w:val="00C65696"/>
    <w:rsid w:val="00C665B6"/>
    <w:rsid w:val="00C66AEC"/>
    <w:rsid w:val="00C67824"/>
    <w:rsid w:val="00C70448"/>
    <w:rsid w:val="00C72138"/>
    <w:rsid w:val="00C72DE3"/>
    <w:rsid w:val="00C74536"/>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154F"/>
    <w:rsid w:val="00CA2954"/>
    <w:rsid w:val="00CA42E6"/>
    <w:rsid w:val="00CA4CB3"/>
    <w:rsid w:val="00CA5316"/>
    <w:rsid w:val="00CA6405"/>
    <w:rsid w:val="00CB0D44"/>
    <w:rsid w:val="00CB415C"/>
    <w:rsid w:val="00CB63DF"/>
    <w:rsid w:val="00CB6C80"/>
    <w:rsid w:val="00CC0DE9"/>
    <w:rsid w:val="00CC320C"/>
    <w:rsid w:val="00CC40C2"/>
    <w:rsid w:val="00CC6B35"/>
    <w:rsid w:val="00CC6DB6"/>
    <w:rsid w:val="00CD04C0"/>
    <w:rsid w:val="00CD0EE2"/>
    <w:rsid w:val="00CD1034"/>
    <w:rsid w:val="00CD46C7"/>
    <w:rsid w:val="00CD6800"/>
    <w:rsid w:val="00CD6B1A"/>
    <w:rsid w:val="00CE0BF9"/>
    <w:rsid w:val="00CE0D0F"/>
    <w:rsid w:val="00CE2567"/>
    <w:rsid w:val="00CE6A12"/>
    <w:rsid w:val="00CE7B33"/>
    <w:rsid w:val="00CE7B75"/>
    <w:rsid w:val="00CF23C9"/>
    <w:rsid w:val="00CF3ECE"/>
    <w:rsid w:val="00CF41D2"/>
    <w:rsid w:val="00CF7CE1"/>
    <w:rsid w:val="00D0035A"/>
    <w:rsid w:val="00D00B3C"/>
    <w:rsid w:val="00D01051"/>
    <w:rsid w:val="00D0445C"/>
    <w:rsid w:val="00D04FCA"/>
    <w:rsid w:val="00D05BE4"/>
    <w:rsid w:val="00D071B9"/>
    <w:rsid w:val="00D10B4F"/>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28DC"/>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3364"/>
    <w:rsid w:val="00DA475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3C5E"/>
    <w:rsid w:val="00DD44FC"/>
    <w:rsid w:val="00DD6E41"/>
    <w:rsid w:val="00DD74FF"/>
    <w:rsid w:val="00DE1186"/>
    <w:rsid w:val="00DE15CD"/>
    <w:rsid w:val="00DE3025"/>
    <w:rsid w:val="00DE4417"/>
    <w:rsid w:val="00DE4E25"/>
    <w:rsid w:val="00DE6819"/>
    <w:rsid w:val="00DF19E8"/>
    <w:rsid w:val="00DF308F"/>
    <w:rsid w:val="00DF59DA"/>
    <w:rsid w:val="00E02073"/>
    <w:rsid w:val="00E03811"/>
    <w:rsid w:val="00E03F84"/>
    <w:rsid w:val="00E06663"/>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E67"/>
    <w:rsid w:val="00E4048A"/>
    <w:rsid w:val="00E408CF"/>
    <w:rsid w:val="00E41569"/>
    <w:rsid w:val="00E41929"/>
    <w:rsid w:val="00E42128"/>
    <w:rsid w:val="00E42E8E"/>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A7B"/>
    <w:rsid w:val="00EA4BE2"/>
    <w:rsid w:val="00EA4D76"/>
    <w:rsid w:val="00EA5264"/>
    <w:rsid w:val="00EB05C0"/>
    <w:rsid w:val="00EB0E5D"/>
    <w:rsid w:val="00EB21DE"/>
    <w:rsid w:val="00EB4866"/>
    <w:rsid w:val="00EB7838"/>
    <w:rsid w:val="00EB7CDF"/>
    <w:rsid w:val="00EC04F5"/>
    <w:rsid w:val="00EC0C9D"/>
    <w:rsid w:val="00EC1757"/>
    <w:rsid w:val="00EC5F39"/>
    <w:rsid w:val="00EC69BC"/>
    <w:rsid w:val="00ED1573"/>
    <w:rsid w:val="00ED533B"/>
    <w:rsid w:val="00ED5892"/>
    <w:rsid w:val="00EE0AC3"/>
    <w:rsid w:val="00EE17A9"/>
    <w:rsid w:val="00EE17D7"/>
    <w:rsid w:val="00EE326E"/>
    <w:rsid w:val="00EE33CE"/>
    <w:rsid w:val="00EE42C5"/>
    <w:rsid w:val="00EE4801"/>
    <w:rsid w:val="00EE49E6"/>
    <w:rsid w:val="00EE523D"/>
    <w:rsid w:val="00EE555F"/>
    <w:rsid w:val="00EE6715"/>
    <w:rsid w:val="00EF0BCA"/>
    <w:rsid w:val="00EF0E6A"/>
    <w:rsid w:val="00EF1BF6"/>
    <w:rsid w:val="00EF560B"/>
    <w:rsid w:val="00EF71E8"/>
    <w:rsid w:val="00F012A7"/>
    <w:rsid w:val="00F02B93"/>
    <w:rsid w:val="00F0327E"/>
    <w:rsid w:val="00F03F67"/>
    <w:rsid w:val="00F06974"/>
    <w:rsid w:val="00F07012"/>
    <w:rsid w:val="00F0740A"/>
    <w:rsid w:val="00F12AF0"/>
    <w:rsid w:val="00F12BF1"/>
    <w:rsid w:val="00F21DB6"/>
    <w:rsid w:val="00F222B3"/>
    <w:rsid w:val="00F22369"/>
    <w:rsid w:val="00F23075"/>
    <w:rsid w:val="00F2354A"/>
    <w:rsid w:val="00F23C22"/>
    <w:rsid w:val="00F24631"/>
    <w:rsid w:val="00F24EBC"/>
    <w:rsid w:val="00F254A4"/>
    <w:rsid w:val="00F30860"/>
    <w:rsid w:val="00F32C78"/>
    <w:rsid w:val="00F336EA"/>
    <w:rsid w:val="00F37787"/>
    <w:rsid w:val="00F409F0"/>
    <w:rsid w:val="00F40D01"/>
    <w:rsid w:val="00F410D4"/>
    <w:rsid w:val="00F41FC0"/>
    <w:rsid w:val="00F422D9"/>
    <w:rsid w:val="00F44D8A"/>
    <w:rsid w:val="00F4741C"/>
    <w:rsid w:val="00F51556"/>
    <w:rsid w:val="00F51DFF"/>
    <w:rsid w:val="00F52ABB"/>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1B0D"/>
    <w:rsid w:val="00F836B8"/>
    <w:rsid w:val="00F85F78"/>
    <w:rsid w:val="00F86B37"/>
    <w:rsid w:val="00F86EB1"/>
    <w:rsid w:val="00F90336"/>
    <w:rsid w:val="00F92014"/>
    <w:rsid w:val="00F92924"/>
    <w:rsid w:val="00F92DD8"/>
    <w:rsid w:val="00F955EE"/>
    <w:rsid w:val="00F957A4"/>
    <w:rsid w:val="00F95D29"/>
    <w:rsid w:val="00F97BFF"/>
    <w:rsid w:val="00FA10EC"/>
    <w:rsid w:val="00FA124E"/>
    <w:rsid w:val="00FA1560"/>
    <w:rsid w:val="00FA2E31"/>
    <w:rsid w:val="00FA3228"/>
    <w:rsid w:val="00FA329D"/>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2D8"/>
    <w:rsid w:val="00FD4C27"/>
    <w:rsid w:val="00FD509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6BA"/>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48555636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26010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686596492">
      <w:bodyDiv w:val="1"/>
      <w:marLeft w:val="0"/>
      <w:marRight w:val="0"/>
      <w:marTop w:val="0"/>
      <w:marBottom w:val="0"/>
      <w:divBdr>
        <w:top w:val="none" w:sz="0" w:space="0" w:color="auto"/>
        <w:left w:val="none" w:sz="0" w:space="0" w:color="auto"/>
        <w:bottom w:val="none" w:sz="0" w:space="0" w:color="auto"/>
        <w:right w:val="none" w:sz="0" w:space="0" w:color="auto"/>
      </w:divBdr>
    </w:div>
    <w:div w:id="17209311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95826418">
      <w:bodyDiv w:val="1"/>
      <w:marLeft w:val="0"/>
      <w:marRight w:val="0"/>
      <w:marTop w:val="0"/>
      <w:marBottom w:val="0"/>
      <w:divBdr>
        <w:top w:val="none" w:sz="0" w:space="0" w:color="auto"/>
        <w:left w:val="none" w:sz="0" w:space="0" w:color="auto"/>
        <w:bottom w:val="none" w:sz="0" w:space="0" w:color="auto"/>
        <w:right w:val="none" w:sz="0" w:space="0" w:color="auto"/>
      </w:divBdr>
    </w:div>
    <w:div w:id="183398467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696450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Prec (dBm)</c:v>
                </c:pt>
              </c:strCache>
            </c:strRef>
          </c:tx>
          <c:spPr>
            <a:ln w="15875" cap="rnd">
              <a:solidFill>
                <a:schemeClr val="accent1"/>
              </a:solidFill>
              <a:round/>
            </a:ln>
            <a:effectLst/>
          </c:spPr>
          <c:marker>
            <c:symbol val="circle"/>
            <c:size val="3"/>
            <c:spPr>
              <a:solidFill>
                <a:schemeClr val="accent1"/>
              </a:solidFill>
              <a:ln w="9525">
                <a:solidFill>
                  <a:schemeClr val="accent1"/>
                </a:solidFill>
              </a:ln>
              <a:effectLst/>
            </c:spPr>
          </c:marker>
          <c:dPt>
            <c:idx val="40"/>
            <c:marker>
              <c:symbol val="circle"/>
              <c:size val="3"/>
              <c:spPr>
                <a:solidFill>
                  <a:schemeClr val="accent1"/>
                </a:solidFill>
                <a:ln w="9525">
                  <a:noFill/>
                </a:ln>
                <a:effectLst/>
              </c:spPr>
            </c:marker>
            <c:bubble3D val="0"/>
            <c:extLst>
              <c:ext xmlns:c16="http://schemas.microsoft.com/office/drawing/2014/chart" uri="{C3380CC4-5D6E-409C-BE32-E72D297353CC}">
                <c16:uniqueId val="{00000001-4AB6-4839-9759-8F79146A396B}"/>
              </c:ext>
            </c:extLst>
          </c:dPt>
          <c:xVal>
            <c:numRef>
              <c:f>Sheet1!$A$2:$A$62</c:f>
              <c:numCache>
                <c:formatCode>General</c:formatCode>
                <c:ptCount val="61"/>
                <c:pt idx="0">
                  <c:v>4.8369600000000004</c:v>
                </c:pt>
                <c:pt idx="1">
                  <c:v>4.9105299999999996</c:v>
                </c:pt>
                <c:pt idx="2">
                  <c:v>4.9951999999999996</c:v>
                </c:pt>
                <c:pt idx="3">
                  <c:v>5.0838900000000002</c:v>
                </c:pt>
                <c:pt idx="4">
                  <c:v>5.1831699999999996</c:v>
                </c:pt>
                <c:pt idx="5">
                  <c:v>5.2713599999999996</c:v>
                </c:pt>
                <c:pt idx="6">
                  <c:v>5.3242799999999999</c:v>
                </c:pt>
                <c:pt idx="7">
                  <c:v>5.4192</c:v>
                </c:pt>
                <c:pt idx="8">
                  <c:v>5.5135899999999998</c:v>
                </c:pt>
                <c:pt idx="9">
                  <c:v>5.6095899999999999</c:v>
                </c:pt>
                <c:pt idx="10">
                  <c:v>5.7055899999999999</c:v>
                </c:pt>
                <c:pt idx="11">
                  <c:v>5.7999799999999997</c:v>
                </c:pt>
                <c:pt idx="12">
                  <c:v>5.8919800000000002</c:v>
                </c:pt>
                <c:pt idx="13">
                  <c:v>5.9887800000000002</c:v>
                </c:pt>
                <c:pt idx="14">
                  <c:v>6.0799700000000003</c:v>
                </c:pt>
                <c:pt idx="15">
                  <c:v>6.1735699999999998</c:v>
                </c:pt>
                <c:pt idx="16">
                  <c:v>6.2671700000000001</c:v>
                </c:pt>
                <c:pt idx="17">
                  <c:v>6.36076</c:v>
                </c:pt>
                <c:pt idx="18">
                  <c:v>6.4559600000000001</c:v>
                </c:pt>
                <c:pt idx="19">
                  <c:v>6.54636</c:v>
                </c:pt>
                <c:pt idx="20">
                  <c:v>6.6415499999999996</c:v>
                </c:pt>
                <c:pt idx="21">
                  <c:v>6.7375499999999997</c:v>
                </c:pt>
                <c:pt idx="22">
                  <c:v>6.8287500000000003</c:v>
                </c:pt>
                <c:pt idx="23">
                  <c:v>6.9167399999999999</c:v>
                </c:pt>
                <c:pt idx="24">
                  <c:v>7.0079399999999996</c:v>
                </c:pt>
                <c:pt idx="25">
                  <c:v>7.0959300000000001</c:v>
                </c:pt>
                <c:pt idx="26">
                  <c:v>7.1871299999999998</c:v>
                </c:pt>
                <c:pt idx="27">
                  <c:v>7.27658</c:v>
                </c:pt>
                <c:pt idx="28">
                  <c:v>7.4247399999999999</c:v>
                </c:pt>
                <c:pt idx="29">
                  <c:v>7.5124300000000002</c:v>
                </c:pt>
                <c:pt idx="30">
                  <c:v>7.59457</c:v>
                </c:pt>
                <c:pt idx="31">
                  <c:v>7.6752000000000002</c:v>
                </c:pt>
                <c:pt idx="32">
                  <c:v>7.7654100000000001</c:v>
                </c:pt>
                <c:pt idx="33">
                  <c:v>7.8433099999999998</c:v>
                </c:pt>
                <c:pt idx="34">
                  <c:v>7.9283900000000003</c:v>
                </c:pt>
                <c:pt idx="35">
                  <c:v>8.0045800000000007</c:v>
                </c:pt>
                <c:pt idx="36">
                  <c:v>8.0858600000000003</c:v>
                </c:pt>
                <c:pt idx="37">
                  <c:v>8.1645900000000005</c:v>
                </c:pt>
                <c:pt idx="38">
                  <c:v>8.2452199999999998</c:v>
                </c:pt>
                <c:pt idx="39">
                  <c:v>8.3214199999999998</c:v>
                </c:pt>
                <c:pt idx="40">
                  <c:v>8.3976100000000002</c:v>
                </c:pt>
                <c:pt idx="41">
                  <c:v>8.4706299999999999</c:v>
                </c:pt>
                <c:pt idx="42">
                  <c:v>8.5446799999999996</c:v>
                </c:pt>
                <c:pt idx="43">
                  <c:v>8.6190800000000003</c:v>
                </c:pt>
                <c:pt idx="44">
                  <c:v>8.6630800000000008</c:v>
                </c:pt>
                <c:pt idx="45">
                  <c:v>8.7406799999999993</c:v>
                </c:pt>
                <c:pt idx="46">
                  <c:v>8.8142700000000005</c:v>
                </c:pt>
                <c:pt idx="47">
                  <c:v>8.8854699999999998</c:v>
                </c:pt>
                <c:pt idx="48">
                  <c:v>8.9550699999999992</c:v>
                </c:pt>
                <c:pt idx="49">
                  <c:v>9.0294699999999999</c:v>
                </c:pt>
                <c:pt idx="50">
                  <c:v>9.1014599999999994</c:v>
                </c:pt>
                <c:pt idx="51">
                  <c:v>9.1742600000000003</c:v>
                </c:pt>
                <c:pt idx="52">
                  <c:v>9.2454599999999996</c:v>
                </c:pt>
                <c:pt idx="53">
                  <c:v>9.3118599999999994</c:v>
                </c:pt>
                <c:pt idx="54">
                  <c:v>9.3846500000000006</c:v>
                </c:pt>
                <c:pt idx="55">
                  <c:v>9.4566499999999998</c:v>
                </c:pt>
                <c:pt idx="56">
                  <c:v>9.5254499999999993</c:v>
                </c:pt>
                <c:pt idx="57">
                  <c:v>9.5942500000000006</c:v>
                </c:pt>
                <c:pt idx="58">
                  <c:v>9.6638400000000004</c:v>
                </c:pt>
                <c:pt idx="59">
                  <c:v>9.73184</c:v>
                </c:pt>
                <c:pt idx="60">
                  <c:v>9.8014399999999995</c:v>
                </c:pt>
              </c:numCache>
            </c:numRef>
          </c:xVal>
          <c:yVal>
            <c:numRef>
              <c:f>Sheet1!$B$2:$B$62</c:f>
              <c:numCache>
                <c:formatCode>General</c:formatCode>
                <c:ptCount val="61"/>
                <c:pt idx="0">
                  <c:v>-23.622140000000002</c:v>
                </c:pt>
                <c:pt idx="1">
                  <c:v>-23.548649999999999</c:v>
                </c:pt>
                <c:pt idx="2">
                  <c:v>-23.457699999999999</c:v>
                </c:pt>
                <c:pt idx="3">
                  <c:v>-23.368580000000001</c:v>
                </c:pt>
                <c:pt idx="4">
                  <c:v>-23.27121</c:v>
                </c:pt>
                <c:pt idx="5">
                  <c:v>-23.181170000000002</c:v>
                </c:pt>
                <c:pt idx="6">
                  <c:v>-23.13524</c:v>
                </c:pt>
                <c:pt idx="7">
                  <c:v>-23.03032</c:v>
                </c:pt>
                <c:pt idx="8">
                  <c:v>-22.93261</c:v>
                </c:pt>
                <c:pt idx="9">
                  <c:v>-22.839279999999999</c:v>
                </c:pt>
                <c:pt idx="10">
                  <c:v>-22.74887</c:v>
                </c:pt>
                <c:pt idx="11">
                  <c:v>-22.65408</c:v>
                </c:pt>
                <c:pt idx="12">
                  <c:v>-22.557829999999999</c:v>
                </c:pt>
                <c:pt idx="13">
                  <c:v>-22.468869999999999</c:v>
                </c:pt>
                <c:pt idx="14">
                  <c:v>-22.36533</c:v>
                </c:pt>
                <c:pt idx="15">
                  <c:v>-22.280750000000001</c:v>
                </c:pt>
                <c:pt idx="16">
                  <c:v>-22.1845</c:v>
                </c:pt>
                <c:pt idx="17">
                  <c:v>-22.088249999999999</c:v>
                </c:pt>
                <c:pt idx="18">
                  <c:v>-21.990539999999999</c:v>
                </c:pt>
                <c:pt idx="19">
                  <c:v>-21.904509999999998</c:v>
                </c:pt>
                <c:pt idx="20">
                  <c:v>-21.808260000000001</c:v>
                </c:pt>
                <c:pt idx="21">
                  <c:v>-21.713470000000001</c:v>
                </c:pt>
                <c:pt idx="22">
                  <c:v>-21.62743</c:v>
                </c:pt>
                <c:pt idx="23">
                  <c:v>-21.529720000000001</c:v>
                </c:pt>
                <c:pt idx="24">
                  <c:v>-21.442219999999999</c:v>
                </c:pt>
                <c:pt idx="25">
                  <c:v>-21.34451</c:v>
                </c:pt>
                <c:pt idx="26">
                  <c:v>-21.258469999999999</c:v>
                </c:pt>
                <c:pt idx="27">
                  <c:v>-21.16743</c:v>
                </c:pt>
                <c:pt idx="28">
                  <c:v>-21.01125</c:v>
                </c:pt>
                <c:pt idx="29">
                  <c:v>-20.920300000000001</c:v>
                </c:pt>
                <c:pt idx="30">
                  <c:v>-20.8367</c:v>
                </c:pt>
                <c:pt idx="31">
                  <c:v>-20.758620000000001</c:v>
                </c:pt>
                <c:pt idx="32">
                  <c:v>-20.660319999999999</c:v>
                </c:pt>
                <c:pt idx="33">
                  <c:v>-20.584849999999999</c:v>
                </c:pt>
                <c:pt idx="34">
                  <c:v>-20.499199999999998</c:v>
                </c:pt>
                <c:pt idx="35">
                  <c:v>-20.419329999999999</c:v>
                </c:pt>
                <c:pt idx="36">
                  <c:v>-20.346409999999999</c:v>
                </c:pt>
                <c:pt idx="37">
                  <c:v>-20.25844</c:v>
                </c:pt>
                <c:pt idx="38">
                  <c:v>-20.1751</c:v>
                </c:pt>
                <c:pt idx="39">
                  <c:v>-20.106819999999999</c:v>
                </c:pt>
                <c:pt idx="40">
                  <c:v>-20.044319999999999</c:v>
                </c:pt>
                <c:pt idx="41">
                  <c:v>-19.977180000000001</c:v>
                </c:pt>
                <c:pt idx="42">
                  <c:v>-19.894950000000001</c:v>
                </c:pt>
                <c:pt idx="43">
                  <c:v>-19.82349</c:v>
                </c:pt>
                <c:pt idx="44">
                  <c:v>-19.78266</c:v>
                </c:pt>
                <c:pt idx="45">
                  <c:v>-19.698080000000001</c:v>
                </c:pt>
                <c:pt idx="46">
                  <c:v>-19.629539999999999</c:v>
                </c:pt>
                <c:pt idx="47">
                  <c:v>-19.556619999999999</c:v>
                </c:pt>
                <c:pt idx="48">
                  <c:v>-19.483709999999999</c:v>
                </c:pt>
                <c:pt idx="49">
                  <c:v>-19.423919999999999</c:v>
                </c:pt>
                <c:pt idx="50">
                  <c:v>-19.33933</c:v>
                </c:pt>
                <c:pt idx="51">
                  <c:v>-19.267880000000002</c:v>
                </c:pt>
                <c:pt idx="52">
                  <c:v>-19.208089999999999</c:v>
                </c:pt>
                <c:pt idx="53">
                  <c:v>-19.13955</c:v>
                </c:pt>
                <c:pt idx="54">
                  <c:v>-19.065169999999998</c:v>
                </c:pt>
                <c:pt idx="55">
                  <c:v>-18.995180000000001</c:v>
                </c:pt>
                <c:pt idx="56">
                  <c:v>-18.928090000000001</c:v>
                </c:pt>
                <c:pt idx="57">
                  <c:v>-18.853719999999999</c:v>
                </c:pt>
                <c:pt idx="58">
                  <c:v>-18.79393</c:v>
                </c:pt>
                <c:pt idx="59">
                  <c:v>-18.72101</c:v>
                </c:pt>
                <c:pt idx="60">
                  <c:v>-18.648099999999999</c:v>
                </c:pt>
              </c:numCache>
            </c:numRef>
          </c:yVal>
          <c:smooth val="0"/>
          <c:extLst>
            <c:ext xmlns:c16="http://schemas.microsoft.com/office/drawing/2014/chart" uri="{C3380CC4-5D6E-409C-BE32-E72D297353CC}">
              <c16:uniqueId val="{00000000-4AB6-4839-9759-8F79146A396B}"/>
            </c:ext>
          </c:extLst>
        </c:ser>
        <c:dLbls>
          <c:showLegendKey val="0"/>
          <c:showVal val="0"/>
          <c:showCatName val="0"/>
          <c:showSerName val="0"/>
          <c:showPercent val="0"/>
          <c:showBubbleSize val="0"/>
        </c:dLbls>
        <c:axId val="376890160"/>
        <c:axId val="376888848"/>
      </c:scatterChart>
      <c:valAx>
        <c:axId val="376890160"/>
        <c:scaling>
          <c:orientation val="minMax"/>
          <c:max val="10"/>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Source antenna</a:t>
                </a:r>
                <a:r>
                  <a:rPr lang="en-US" baseline="0"/>
                  <a:t> power (R&amp;S NRP) P</a:t>
                </a:r>
                <a:r>
                  <a:rPr lang="en-US" baseline="-25000"/>
                  <a:t>src</a:t>
                </a:r>
                <a:r>
                  <a:rPr lang="en-US"/>
                  <a:t>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88848"/>
        <c:crossesAt val="-32.620000000000005"/>
        <c:crossBetween val="midCat"/>
      </c:valAx>
      <c:valAx>
        <c:axId val="376888848"/>
        <c:scaling>
          <c:orientation val="minMax"/>
          <c:max val="-18"/>
          <c:min val="-2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PWC200</a:t>
                </a:r>
                <a:r>
                  <a:rPr lang="en-US" baseline="0"/>
                  <a:t> Received Power (R&amp;S FSW) </a:t>
                </a:r>
                <a:r>
                  <a:rPr lang="en-US"/>
                  <a:t>P</a:t>
                </a:r>
                <a:r>
                  <a:rPr lang="en-US" baseline="-25000"/>
                  <a:t>RX</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901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Prec (dBm)</c:v>
                </c:pt>
              </c:strCache>
            </c:strRef>
          </c:tx>
          <c:spPr>
            <a:ln w="15875" cap="rnd">
              <a:solidFill>
                <a:schemeClr val="accent1"/>
              </a:solidFill>
              <a:round/>
            </a:ln>
            <a:effectLst/>
          </c:spPr>
          <c:marker>
            <c:symbol val="circle"/>
            <c:size val="3"/>
            <c:spPr>
              <a:solidFill>
                <a:schemeClr val="accent1"/>
              </a:solidFill>
              <a:ln w="9525">
                <a:solidFill>
                  <a:schemeClr val="accent1"/>
                </a:solidFill>
              </a:ln>
              <a:effectLst/>
            </c:spPr>
          </c:marker>
          <c:dPt>
            <c:idx val="40"/>
            <c:marker>
              <c:symbol val="circle"/>
              <c:size val="3"/>
              <c:spPr>
                <a:solidFill>
                  <a:schemeClr val="accent1"/>
                </a:solidFill>
                <a:ln w="9525">
                  <a:noFill/>
                </a:ln>
                <a:effectLst/>
              </c:spPr>
            </c:marker>
            <c:bubble3D val="0"/>
            <c:extLst>
              <c:ext xmlns:c16="http://schemas.microsoft.com/office/drawing/2014/chart" uri="{C3380CC4-5D6E-409C-BE32-E72D297353CC}">
                <c16:uniqueId val="{00000000-4AAD-4B2E-9506-2ED34CE9A116}"/>
              </c:ext>
            </c:extLst>
          </c:dPt>
          <c:xVal>
            <c:numRef>
              <c:f>Sheet1!$A$2:$A$62</c:f>
              <c:numCache>
                <c:formatCode>General</c:formatCode>
                <c:ptCount val="61"/>
                <c:pt idx="0">
                  <c:v>6.2687499999999998</c:v>
                </c:pt>
                <c:pt idx="1">
                  <c:v>6.3687100000000001</c:v>
                </c:pt>
                <c:pt idx="2">
                  <c:v>6.4657299999999998</c:v>
                </c:pt>
                <c:pt idx="3">
                  <c:v>6.5593899999999996</c:v>
                </c:pt>
                <c:pt idx="4">
                  <c:v>6.6501099999999997</c:v>
                </c:pt>
                <c:pt idx="5">
                  <c:v>6.7416700000000001</c:v>
                </c:pt>
                <c:pt idx="6">
                  <c:v>6.8349099999999998</c:v>
                </c:pt>
                <c:pt idx="7">
                  <c:v>6.9273100000000003</c:v>
                </c:pt>
                <c:pt idx="8">
                  <c:v>7.0150899999999998</c:v>
                </c:pt>
                <c:pt idx="9">
                  <c:v>7.1045499999999997</c:v>
                </c:pt>
                <c:pt idx="10">
                  <c:v>7.1948499999999997</c:v>
                </c:pt>
                <c:pt idx="11">
                  <c:v>7.2830500000000002</c:v>
                </c:pt>
                <c:pt idx="12">
                  <c:v>7.3691500000000003</c:v>
                </c:pt>
                <c:pt idx="13">
                  <c:v>7.45526</c:v>
                </c:pt>
                <c:pt idx="14">
                  <c:v>7.5430400000000004</c:v>
                </c:pt>
                <c:pt idx="15">
                  <c:v>7.6295599999999997</c:v>
                </c:pt>
                <c:pt idx="16">
                  <c:v>7.7110399999999997</c:v>
                </c:pt>
                <c:pt idx="17">
                  <c:v>7.7946200000000001</c:v>
                </c:pt>
                <c:pt idx="18">
                  <c:v>7.8773600000000004</c:v>
                </c:pt>
                <c:pt idx="19">
                  <c:v>7.9605199999999998</c:v>
                </c:pt>
                <c:pt idx="20">
                  <c:v>8.0940799999999999</c:v>
                </c:pt>
                <c:pt idx="21">
                  <c:v>8.1688399999999994</c:v>
                </c:pt>
                <c:pt idx="22">
                  <c:v>8.2473799999999997</c:v>
                </c:pt>
                <c:pt idx="23">
                  <c:v>8.3213000000000008</c:v>
                </c:pt>
                <c:pt idx="24">
                  <c:v>8.4006799999999995</c:v>
                </c:pt>
                <c:pt idx="25">
                  <c:v>8.4695599999999995</c:v>
                </c:pt>
                <c:pt idx="26">
                  <c:v>8.5464199999999995</c:v>
                </c:pt>
                <c:pt idx="27">
                  <c:v>8.6190800000000003</c:v>
                </c:pt>
                <c:pt idx="28">
                  <c:v>8.6900600000000008</c:v>
                </c:pt>
                <c:pt idx="29">
                  <c:v>8.7601999999999993</c:v>
                </c:pt>
                <c:pt idx="30">
                  <c:v>8.8303399999999996</c:v>
                </c:pt>
                <c:pt idx="31">
                  <c:v>8.8975399999999993</c:v>
                </c:pt>
                <c:pt idx="32">
                  <c:v>8.9697800000000001</c:v>
                </c:pt>
                <c:pt idx="33">
                  <c:v>9.0382499999999997</c:v>
                </c:pt>
                <c:pt idx="34">
                  <c:v>9.1046099999999992</c:v>
                </c:pt>
                <c:pt idx="35">
                  <c:v>9.1697100000000002</c:v>
                </c:pt>
                <c:pt idx="36">
                  <c:v>9.2343899999999994</c:v>
                </c:pt>
                <c:pt idx="37">
                  <c:v>9.2978100000000001</c:v>
                </c:pt>
                <c:pt idx="38">
                  <c:v>9.3599700000000006</c:v>
                </c:pt>
                <c:pt idx="39">
                  <c:v>9.4246499999999997</c:v>
                </c:pt>
                <c:pt idx="40">
                  <c:v>9.4561499999999992</c:v>
                </c:pt>
                <c:pt idx="41">
                  <c:v>9.5220900000000004</c:v>
                </c:pt>
                <c:pt idx="42">
                  <c:v>9.5859299999999994</c:v>
                </c:pt>
                <c:pt idx="43">
                  <c:v>9.6459899999999994</c:v>
                </c:pt>
                <c:pt idx="44">
                  <c:v>9.7068899999999996</c:v>
                </c:pt>
                <c:pt idx="45">
                  <c:v>9.7682099999999998</c:v>
                </c:pt>
                <c:pt idx="46">
                  <c:v>9.8261699999999994</c:v>
                </c:pt>
                <c:pt idx="47">
                  <c:v>9.8841300000000007</c:v>
                </c:pt>
                <c:pt idx="48">
                  <c:v>9.9450299999999991</c:v>
                </c:pt>
                <c:pt idx="49">
                  <c:v>10.00089</c:v>
                </c:pt>
                <c:pt idx="50">
                  <c:v>10.058009999999999</c:v>
                </c:pt>
                <c:pt idx="51">
                  <c:v>10.11429</c:v>
                </c:pt>
                <c:pt idx="52">
                  <c:v>10.168469999999999</c:v>
                </c:pt>
                <c:pt idx="53">
                  <c:v>10.22181</c:v>
                </c:pt>
                <c:pt idx="54">
                  <c:v>10.277670000000001</c:v>
                </c:pt>
                <c:pt idx="55">
                  <c:v>10.331009999999999</c:v>
                </c:pt>
                <c:pt idx="56">
                  <c:v>10.381830000000001</c:v>
                </c:pt>
                <c:pt idx="57">
                  <c:v>10.433909999999999</c:v>
                </c:pt>
                <c:pt idx="58">
                  <c:v>10.484310000000001</c:v>
                </c:pt>
                <c:pt idx="59">
                  <c:v>10.53345</c:v>
                </c:pt>
                <c:pt idx="60">
                  <c:v>10.61913</c:v>
                </c:pt>
              </c:numCache>
            </c:numRef>
          </c:xVal>
          <c:yVal>
            <c:numRef>
              <c:f>Sheet1!$B$2:$B$62</c:f>
              <c:numCache>
                <c:formatCode>General</c:formatCode>
                <c:ptCount val="61"/>
                <c:pt idx="0">
                  <c:v>-26.018080000000001</c:v>
                </c:pt>
                <c:pt idx="1">
                  <c:v>-25.92239</c:v>
                </c:pt>
                <c:pt idx="2">
                  <c:v>-25.824400000000001</c:v>
                </c:pt>
                <c:pt idx="3">
                  <c:v>-25.733309999999999</c:v>
                </c:pt>
                <c:pt idx="4">
                  <c:v>-25.643740000000001</c:v>
                </c:pt>
                <c:pt idx="5">
                  <c:v>-25.558</c:v>
                </c:pt>
                <c:pt idx="6">
                  <c:v>-25.46001</c:v>
                </c:pt>
                <c:pt idx="7">
                  <c:v>-25.37274</c:v>
                </c:pt>
                <c:pt idx="8">
                  <c:v>-25.282409999999999</c:v>
                </c:pt>
                <c:pt idx="9">
                  <c:v>-25.190539999999999</c:v>
                </c:pt>
                <c:pt idx="10">
                  <c:v>-25.107099999999999</c:v>
                </c:pt>
                <c:pt idx="11">
                  <c:v>-25.019829999999999</c:v>
                </c:pt>
                <c:pt idx="12">
                  <c:v>-24.93486</c:v>
                </c:pt>
                <c:pt idx="13">
                  <c:v>-24.851420000000001</c:v>
                </c:pt>
                <c:pt idx="14">
                  <c:v>-24.76568</c:v>
                </c:pt>
                <c:pt idx="15">
                  <c:v>-24.67764</c:v>
                </c:pt>
                <c:pt idx="16">
                  <c:v>-24.598030000000001</c:v>
                </c:pt>
                <c:pt idx="17">
                  <c:v>-24.513819999999999</c:v>
                </c:pt>
                <c:pt idx="18">
                  <c:v>-24.433440000000001</c:v>
                </c:pt>
                <c:pt idx="19">
                  <c:v>-24.35</c:v>
                </c:pt>
                <c:pt idx="20">
                  <c:v>-24.212959999999999</c:v>
                </c:pt>
                <c:pt idx="21">
                  <c:v>-24.140999999999998</c:v>
                </c:pt>
                <c:pt idx="22">
                  <c:v>-24.064450000000001</c:v>
                </c:pt>
                <c:pt idx="23">
                  <c:v>-23.990189999999998</c:v>
                </c:pt>
                <c:pt idx="24">
                  <c:v>-23.91058</c:v>
                </c:pt>
                <c:pt idx="25">
                  <c:v>-23.84628</c:v>
                </c:pt>
                <c:pt idx="26">
                  <c:v>-23.768190000000001</c:v>
                </c:pt>
                <c:pt idx="27">
                  <c:v>-23.69623</c:v>
                </c:pt>
                <c:pt idx="28">
                  <c:v>-23.624269999999999</c:v>
                </c:pt>
                <c:pt idx="29">
                  <c:v>-23.556139999999999</c:v>
                </c:pt>
                <c:pt idx="30">
                  <c:v>-23.498729999999998</c:v>
                </c:pt>
                <c:pt idx="31">
                  <c:v>-23.435960000000001</c:v>
                </c:pt>
                <c:pt idx="32">
                  <c:v>-23.362469999999998</c:v>
                </c:pt>
                <c:pt idx="33">
                  <c:v>-23.293569999999999</c:v>
                </c:pt>
                <c:pt idx="34">
                  <c:v>-23.2285</c:v>
                </c:pt>
                <c:pt idx="35">
                  <c:v>-23.158829999999998</c:v>
                </c:pt>
                <c:pt idx="36">
                  <c:v>-23.09376</c:v>
                </c:pt>
                <c:pt idx="37">
                  <c:v>-23.03022</c:v>
                </c:pt>
                <c:pt idx="38">
                  <c:v>-22.967449999999999</c:v>
                </c:pt>
                <c:pt idx="39">
                  <c:v>-22.905439999999999</c:v>
                </c:pt>
                <c:pt idx="40">
                  <c:v>-22.880179999999999</c:v>
                </c:pt>
                <c:pt idx="41">
                  <c:v>-22.813580000000002</c:v>
                </c:pt>
                <c:pt idx="42">
                  <c:v>-22.750810000000001</c:v>
                </c:pt>
                <c:pt idx="43">
                  <c:v>-22.688030000000001</c:v>
                </c:pt>
                <c:pt idx="44">
                  <c:v>-22.628319999999999</c:v>
                </c:pt>
                <c:pt idx="45">
                  <c:v>-22.571670000000001</c:v>
                </c:pt>
                <c:pt idx="46">
                  <c:v>-22.511959999999998</c:v>
                </c:pt>
                <c:pt idx="47">
                  <c:v>-22.447649999999999</c:v>
                </c:pt>
                <c:pt idx="48">
                  <c:v>-22.3933</c:v>
                </c:pt>
                <c:pt idx="49">
                  <c:v>-22.336649999999999</c:v>
                </c:pt>
                <c:pt idx="50">
                  <c:v>-22.274640000000002</c:v>
                </c:pt>
                <c:pt idx="51">
                  <c:v>-22.221060000000001</c:v>
                </c:pt>
                <c:pt idx="52">
                  <c:v>-22.15981</c:v>
                </c:pt>
                <c:pt idx="53">
                  <c:v>-22.099329999999998</c:v>
                </c:pt>
                <c:pt idx="54">
                  <c:v>-22.046510000000001</c:v>
                </c:pt>
                <c:pt idx="55">
                  <c:v>-21.992920000000002</c:v>
                </c:pt>
                <c:pt idx="56">
                  <c:v>-21.939340000000001</c:v>
                </c:pt>
                <c:pt idx="57">
                  <c:v>-21.887280000000001</c:v>
                </c:pt>
                <c:pt idx="58">
                  <c:v>-21.826029999999999</c:v>
                </c:pt>
                <c:pt idx="59">
                  <c:v>-21.78163</c:v>
                </c:pt>
                <c:pt idx="60">
                  <c:v>-21.705850000000002</c:v>
                </c:pt>
              </c:numCache>
            </c:numRef>
          </c:yVal>
          <c:smooth val="0"/>
          <c:extLst>
            <c:ext xmlns:c16="http://schemas.microsoft.com/office/drawing/2014/chart" uri="{C3380CC4-5D6E-409C-BE32-E72D297353CC}">
              <c16:uniqueId val="{00000001-4AAD-4B2E-9506-2ED34CE9A116}"/>
            </c:ext>
          </c:extLst>
        </c:ser>
        <c:dLbls>
          <c:showLegendKey val="0"/>
          <c:showVal val="0"/>
          <c:showCatName val="0"/>
          <c:showSerName val="0"/>
          <c:showPercent val="0"/>
          <c:showBubbleSize val="0"/>
        </c:dLbls>
        <c:axId val="376890160"/>
        <c:axId val="376888848"/>
      </c:scatterChart>
      <c:valAx>
        <c:axId val="376890160"/>
        <c:scaling>
          <c:orientation val="minMax"/>
          <c:max val="11"/>
          <c:min val="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Source antenna</a:t>
                </a:r>
                <a:r>
                  <a:rPr lang="en-US" baseline="0"/>
                  <a:t> power (R&amp;S NRP) P</a:t>
                </a:r>
                <a:r>
                  <a:rPr lang="en-US" baseline="-25000"/>
                  <a:t>src</a:t>
                </a:r>
                <a:r>
                  <a:rPr lang="en-US"/>
                  <a:t>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88848"/>
        <c:crossesAt val="-32.620000000000005"/>
        <c:crossBetween val="midCat"/>
      </c:valAx>
      <c:valAx>
        <c:axId val="376888848"/>
        <c:scaling>
          <c:orientation val="minMax"/>
          <c:max val="-21.5"/>
          <c:min val="-26.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PWC200</a:t>
                </a:r>
                <a:r>
                  <a:rPr lang="en-US" baseline="0"/>
                  <a:t> Received Power (R&amp;S FSW) </a:t>
                </a:r>
                <a:r>
                  <a:rPr lang="en-US"/>
                  <a:t>P</a:t>
                </a:r>
                <a:r>
                  <a:rPr lang="en-US" baseline="-25000"/>
                  <a:t>RX</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901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Prec / Psrc (dB)</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Sheet1!$A$2:$A$95</c:f>
              <c:numCache>
                <c:formatCode>0.00</c:formatCode>
                <c:ptCount val="94"/>
                <c:pt idx="0" formatCode="General">
                  <c:v>0</c:v>
                </c:pt>
                <c:pt idx="1">
                  <c:v>6.2539999999999978</c:v>
                </c:pt>
                <c:pt idx="2">
                  <c:v>12.321999999999996</c:v>
                </c:pt>
                <c:pt idx="3">
                  <c:v>18.576000000000001</c:v>
                </c:pt>
                <c:pt idx="4">
                  <c:v>24.735999999999997</c:v>
                </c:pt>
                <c:pt idx="5">
                  <c:v>31.177</c:v>
                </c:pt>
                <c:pt idx="6">
                  <c:v>37.243999999999993</c:v>
                </c:pt>
                <c:pt idx="7">
                  <c:v>43.404999999999994</c:v>
                </c:pt>
                <c:pt idx="8">
                  <c:v>49.752000000000002</c:v>
                </c:pt>
                <c:pt idx="9">
                  <c:v>55.82</c:v>
                </c:pt>
                <c:pt idx="10">
                  <c:v>61.98</c:v>
                </c:pt>
                <c:pt idx="11">
                  <c:v>68.139999999999986</c:v>
                </c:pt>
                <c:pt idx="12">
                  <c:v>74.392999999999986</c:v>
                </c:pt>
                <c:pt idx="13">
                  <c:v>80.459999999999994</c:v>
                </c:pt>
                <c:pt idx="14">
                  <c:v>86.900999999999996</c:v>
                </c:pt>
                <c:pt idx="15">
                  <c:v>93.060999999999993</c:v>
                </c:pt>
                <c:pt idx="16">
                  <c:v>99.221999999999994</c:v>
                </c:pt>
                <c:pt idx="17">
                  <c:v>105.47599999999998</c:v>
                </c:pt>
                <c:pt idx="18">
                  <c:v>111.63699999999999</c:v>
                </c:pt>
                <c:pt idx="19">
                  <c:v>117.79699999999998</c:v>
                </c:pt>
                <c:pt idx="20">
                  <c:v>124.051</c:v>
                </c:pt>
                <c:pt idx="21">
                  <c:v>130.30500000000001</c:v>
                </c:pt>
                <c:pt idx="22">
                  <c:v>136.559</c:v>
                </c:pt>
                <c:pt idx="23">
                  <c:v>142.626</c:v>
                </c:pt>
                <c:pt idx="24">
                  <c:v>149.066</c:v>
                </c:pt>
                <c:pt idx="25">
                  <c:v>155.13400000000001</c:v>
                </c:pt>
                <c:pt idx="26">
                  <c:v>161.29400000000001</c:v>
                </c:pt>
                <c:pt idx="27">
                  <c:v>167.548</c:v>
                </c:pt>
                <c:pt idx="28">
                  <c:v>173.80199999999999</c:v>
                </c:pt>
                <c:pt idx="29">
                  <c:v>179.77600000000001</c:v>
                </c:pt>
                <c:pt idx="30">
                  <c:v>186.12300000000002</c:v>
                </c:pt>
                <c:pt idx="31">
                  <c:v>192.28399999999999</c:v>
                </c:pt>
                <c:pt idx="32">
                  <c:v>198.351</c:v>
                </c:pt>
                <c:pt idx="33">
                  <c:v>204.60500000000002</c:v>
                </c:pt>
                <c:pt idx="34">
                  <c:v>210.76500000000001</c:v>
                </c:pt>
                <c:pt idx="35">
                  <c:v>217.11199999999999</c:v>
                </c:pt>
                <c:pt idx="36">
                  <c:v>223.36599999999999</c:v>
                </c:pt>
                <c:pt idx="37">
                  <c:v>229.43400000000003</c:v>
                </c:pt>
                <c:pt idx="38">
                  <c:v>235.87400000000002</c:v>
                </c:pt>
                <c:pt idx="39">
                  <c:v>242.03500000000003</c:v>
                </c:pt>
                <c:pt idx="40">
                  <c:v>248.10200000000003</c:v>
                </c:pt>
                <c:pt idx="41">
                  <c:v>254.44900000000001</c:v>
                </c:pt>
                <c:pt idx="42">
                  <c:v>260.51600000000002</c:v>
                </c:pt>
                <c:pt idx="43">
                  <c:v>266.77</c:v>
                </c:pt>
                <c:pt idx="44">
                  <c:v>272.83699999999999</c:v>
                </c:pt>
                <c:pt idx="45">
                  <c:v>279.37200000000001</c:v>
                </c:pt>
                <c:pt idx="46">
                  <c:v>285.34500000000003</c:v>
                </c:pt>
                <c:pt idx="47">
                  <c:v>291.87900000000002</c:v>
                </c:pt>
                <c:pt idx="48">
                  <c:v>297.85300000000001</c:v>
                </c:pt>
                <c:pt idx="49">
                  <c:v>303.92</c:v>
                </c:pt>
                <c:pt idx="50">
                  <c:v>310.267</c:v>
                </c:pt>
                <c:pt idx="51">
                  <c:v>316.24099999999999</c:v>
                </c:pt>
                <c:pt idx="52">
                  <c:v>322.58800000000002</c:v>
                </c:pt>
                <c:pt idx="53">
                  <c:v>328.56200000000001</c:v>
                </c:pt>
                <c:pt idx="54">
                  <c:v>334.90899999999999</c:v>
                </c:pt>
                <c:pt idx="55">
                  <c:v>341.07</c:v>
                </c:pt>
                <c:pt idx="56">
                  <c:v>347.697</c:v>
                </c:pt>
                <c:pt idx="57">
                  <c:v>353.57800000000003</c:v>
                </c:pt>
                <c:pt idx="58">
                  <c:v>359.83199999999999</c:v>
                </c:pt>
                <c:pt idx="59">
                  <c:v>365.99200000000002</c:v>
                </c:pt>
                <c:pt idx="60">
                  <c:v>372.339</c:v>
                </c:pt>
                <c:pt idx="61">
                  <c:v>378.68599999999998</c:v>
                </c:pt>
                <c:pt idx="62">
                  <c:v>384.38</c:v>
                </c:pt>
                <c:pt idx="63">
                  <c:v>391.00799999999998</c:v>
                </c:pt>
                <c:pt idx="64">
                  <c:v>397.07499999999999</c:v>
                </c:pt>
                <c:pt idx="65">
                  <c:v>403.32900000000001</c:v>
                </c:pt>
                <c:pt idx="66">
                  <c:v>409.39600000000002</c:v>
                </c:pt>
                <c:pt idx="67">
                  <c:v>415.65</c:v>
                </c:pt>
                <c:pt idx="68">
                  <c:v>421.81</c:v>
                </c:pt>
                <c:pt idx="69">
                  <c:v>428.15699999999998</c:v>
                </c:pt>
                <c:pt idx="70">
                  <c:v>434.03800000000001</c:v>
                </c:pt>
                <c:pt idx="71">
                  <c:v>440.66500000000002</c:v>
                </c:pt>
                <c:pt idx="72">
                  <c:v>446.82600000000002</c:v>
                </c:pt>
                <c:pt idx="73">
                  <c:v>452.89300000000003</c:v>
                </c:pt>
                <c:pt idx="74">
                  <c:v>459.053</c:v>
                </c:pt>
                <c:pt idx="75">
                  <c:v>465.58699999999999</c:v>
                </c:pt>
                <c:pt idx="76">
                  <c:v>471.46800000000002</c:v>
                </c:pt>
                <c:pt idx="77">
                  <c:v>477.90800000000002</c:v>
                </c:pt>
                <c:pt idx="78">
                  <c:v>483.88200000000006</c:v>
                </c:pt>
                <c:pt idx="79">
                  <c:v>489.94899999999996</c:v>
                </c:pt>
                <c:pt idx="80">
                  <c:v>496.48300000000006</c:v>
                </c:pt>
                <c:pt idx="81">
                  <c:v>502.45699999999999</c:v>
                </c:pt>
                <c:pt idx="82">
                  <c:v>508.61800000000005</c:v>
                </c:pt>
                <c:pt idx="83">
                  <c:v>514.68500000000006</c:v>
                </c:pt>
                <c:pt idx="84">
                  <c:v>521.125</c:v>
                </c:pt>
                <c:pt idx="85">
                  <c:v>527.37900000000002</c:v>
                </c:pt>
                <c:pt idx="86">
                  <c:v>533.44600000000003</c:v>
                </c:pt>
                <c:pt idx="87">
                  <c:v>539.60699999999997</c:v>
                </c:pt>
                <c:pt idx="88">
                  <c:v>545.95399999999995</c:v>
                </c:pt>
                <c:pt idx="89">
                  <c:v>552.02099999999996</c:v>
                </c:pt>
                <c:pt idx="90">
                  <c:v>558.36800000000005</c:v>
                </c:pt>
                <c:pt idx="91">
                  <c:v>564.62199999999996</c:v>
                </c:pt>
                <c:pt idx="92">
                  <c:v>570.40899999999999</c:v>
                </c:pt>
                <c:pt idx="93">
                  <c:v>577.03600000000006</c:v>
                </c:pt>
              </c:numCache>
            </c:numRef>
          </c:xVal>
          <c:yVal>
            <c:numRef>
              <c:f>Sheet1!$B$2:$B$95</c:f>
              <c:numCache>
                <c:formatCode>General</c:formatCode>
                <c:ptCount val="94"/>
                <c:pt idx="0">
                  <c:v>-32.530171000000003</c:v>
                </c:pt>
                <c:pt idx="1">
                  <c:v>-32.539409999999997</c:v>
                </c:pt>
                <c:pt idx="2">
                  <c:v>-32.550736000000001</c:v>
                </c:pt>
                <c:pt idx="3">
                  <c:v>-32.551406999999998</c:v>
                </c:pt>
                <c:pt idx="4">
                  <c:v>-32.563850000000002</c:v>
                </c:pt>
                <c:pt idx="5">
                  <c:v>-32.571525000000001</c:v>
                </c:pt>
                <c:pt idx="6">
                  <c:v>-32.574953000000001</c:v>
                </c:pt>
                <c:pt idx="7">
                  <c:v>-32.576442999999998</c:v>
                </c:pt>
                <c:pt idx="8">
                  <c:v>-32.580540999999997</c:v>
                </c:pt>
                <c:pt idx="9">
                  <c:v>-32.584936999999996</c:v>
                </c:pt>
                <c:pt idx="10">
                  <c:v>-32.578006999999999</c:v>
                </c:pt>
                <c:pt idx="11">
                  <c:v>-32.560495000000003</c:v>
                </c:pt>
                <c:pt idx="12">
                  <c:v>-32.535235</c:v>
                </c:pt>
                <c:pt idx="13">
                  <c:v>-32.542462</c:v>
                </c:pt>
                <c:pt idx="14">
                  <c:v>-32.540599</c:v>
                </c:pt>
                <c:pt idx="15">
                  <c:v>-32.545665999999997</c:v>
                </c:pt>
                <c:pt idx="16">
                  <c:v>-32.552371999999998</c:v>
                </c:pt>
                <c:pt idx="17">
                  <c:v>-32.553862000000002</c:v>
                </c:pt>
                <c:pt idx="18">
                  <c:v>-32.552446000000003</c:v>
                </c:pt>
                <c:pt idx="19">
                  <c:v>-32.559300999999998</c:v>
                </c:pt>
                <c:pt idx="20">
                  <c:v>-32.559524000000003</c:v>
                </c:pt>
                <c:pt idx="21">
                  <c:v>-32.563696999999998</c:v>
                </c:pt>
                <c:pt idx="22">
                  <c:v>-32.555723999999998</c:v>
                </c:pt>
                <c:pt idx="23">
                  <c:v>-32.560715999999999</c:v>
                </c:pt>
                <c:pt idx="24">
                  <c:v>-32.559373999999998</c:v>
                </c:pt>
                <c:pt idx="25">
                  <c:v>-32.561982</c:v>
                </c:pt>
                <c:pt idx="26">
                  <c:v>-32.563620999999998</c:v>
                </c:pt>
                <c:pt idx="27">
                  <c:v>-32.566899999999997</c:v>
                </c:pt>
                <c:pt idx="28">
                  <c:v>-32.565707000000003</c:v>
                </c:pt>
                <c:pt idx="29">
                  <c:v>-32.564886999999999</c:v>
                </c:pt>
                <c:pt idx="30">
                  <c:v>-32.565109999999997</c:v>
                </c:pt>
                <c:pt idx="31">
                  <c:v>-32.571742</c:v>
                </c:pt>
                <c:pt idx="32">
                  <c:v>-32.572785000000003</c:v>
                </c:pt>
                <c:pt idx="33">
                  <c:v>-32.567717999999999</c:v>
                </c:pt>
                <c:pt idx="34">
                  <c:v>-32.570324999999997</c:v>
                </c:pt>
                <c:pt idx="35">
                  <c:v>-32.571145000000001</c:v>
                </c:pt>
                <c:pt idx="36">
                  <c:v>-32.575764999999997</c:v>
                </c:pt>
                <c:pt idx="37">
                  <c:v>-32.585301999999999</c:v>
                </c:pt>
                <c:pt idx="38">
                  <c:v>-32.582619000000001</c:v>
                </c:pt>
                <c:pt idx="39">
                  <c:v>-32.583215000000003</c:v>
                </c:pt>
                <c:pt idx="40">
                  <c:v>-32.585078000000003</c:v>
                </c:pt>
                <c:pt idx="41">
                  <c:v>-32.581054000000002</c:v>
                </c:pt>
                <c:pt idx="42">
                  <c:v>-32.581128</c:v>
                </c:pt>
                <c:pt idx="43">
                  <c:v>-32.580457000000003</c:v>
                </c:pt>
                <c:pt idx="44">
                  <c:v>-32.582022000000002</c:v>
                </c:pt>
                <c:pt idx="45">
                  <c:v>-32.590218</c:v>
                </c:pt>
                <c:pt idx="46">
                  <c:v>-32.586641</c:v>
                </c:pt>
                <c:pt idx="47">
                  <c:v>-32.587833000000003</c:v>
                </c:pt>
                <c:pt idx="48">
                  <c:v>-32.591259999999998</c:v>
                </c:pt>
                <c:pt idx="49">
                  <c:v>-32.593645000000002</c:v>
                </c:pt>
                <c:pt idx="50">
                  <c:v>-32.592080000000003</c:v>
                </c:pt>
                <c:pt idx="51">
                  <c:v>-32.588652000000003</c:v>
                </c:pt>
                <c:pt idx="52">
                  <c:v>-32.589843999999999</c:v>
                </c:pt>
                <c:pt idx="53">
                  <c:v>-32.594760999999998</c:v>
                </c:pt>
                <c:pt idx="54">
                  <c:v>-32.591481999999999</c:v>
                </c:pt>
                <c:pt idx="55">
                  <c:v>-32.593195999999999</c:v>
                </c:pt>
                <c:pt idx="56">
                  <c:v>-32.594239000000002</c:v>
                </c:pt>
                <c:pt idx="57">
                  <c:v>-32.599231000000003</c:v>
                </c:pt>
                <c:pt idx="58">
                  <c:v>-32.595505000000003</c:v>
                </c:pt>
                <c:pt idx="59">
                  <c:v>-32.598188</c:v>
                </c:pt>
                <c:pt idx="60">
                  <c:v>-32.594760000000001</c:v>
                </c:pt>
                <c:pt idx="61">
                  <c:v>-32.593344000000002</c:v>
                </c:pt>
                <c:pt idx="62">
                  <c:v>-32.597366999999998</c:v>
                </c:pt>
                <c:pt idx="63">
                  <c:v>-32.598261000000001</c:v>
                </c:pt>
                <c:pt idx="64">
                  <c:v>-32.598334999999999</c:v>
                </c:pt>
                <c:pt idx="65">
                  <c:v>-32.599006000000003</c:v>
                </c:pt>
                <c:pt idx="66">
                  <c:v>-32.604967000000002</c:v>
                </c:pt>
                <c:pt idx="67">
                  <c:v>-32.600048000000001</c:v>
                </c:pt>
                <c:pt idx="68">
                  <c:v>-32.601984999999999</c:v>
                </c:pt>
                <c:pt idx="69">
                  <c:v>-32.600569</c:v>
                </c:pt>
                <c:pt idx="70">
                  <c:v>-32.598632000000002</c:v>
                </c:pt>
                <c:pt idx="71">
                  <c:v>-32.601984999999999</c:v>
                </c:pt>
                <c:pt idx="72">
                  <c:v>-32.603102</c:v>
                </c:pt>
                <c:pt idx="73">
                  <c:v>-32.602356999999998</c:v>
                </c:pt>
                <c:pt idx="74">
                  <c:v>-32.599003000000003</c:v>
                </c:pt>
                <c:pt idx="75">
                  <c:v>-32.600642000000001</c:v>
                </c:pt>
                <c:pt idx="76">
                  <c:v>-32.603994999999998</c:v>
                </c:pt>
                <c:pt idx="77">
                  <c:v>-32.60407</c:v>
                </c:pt>
                <c:pt idx="78">
                  <c:v>-32.607348000000002</c:v>
                </c:pt>
                <c:pt idx="79">
                  <c:v>-32.604889</c:v>
                </c:pt>
                <c:pt idx="80">
                  <c:v>-32.608092999999997</c:v>
                </c:pt>
                <c:pt idx="81">
                  <c:v>-32.607049000000004</c:v>
                </c:pt>
                <c:pt idx="82">
                  <c:v>-32.606228999999999</c:v>
                </c:pt>
                <c:pt idx="83">
                  <c:v>-32.608314999999997</c:v>
                </c:pt>
                <c:pt idx="84">
                  <c:v>-32.609582000000003</c:v>
                </c:pt>
                <c:pt idx="85">
                  <c:v>-32.608389000000003</c:v>
                </c:pt>
                <c:pt idx="86">
                  <c:v>-32.610103000000002</c:v>
                </c:pt>
                <c:pt idx="87">
                  <c:v>-32.602055</c:v>
                </c:pt>
                <c:pt idx="88">
                  <c:v>-32.603693999999997</c:v>
                </c:pt>
                <c:pt idx="89">
                  <c:v>-32.604140999999998</c:v>
                </c:pt>
                <c:pt idx="90">
                  <c:v>-32.608314</c:v>
                </c:pt>
                <c:pt idx="91">
                  <c:v>-32.603693</c:v>
                </c:pt>
                <c:pt idx="92">
                  <c:v>-32.605631000000002</c:v>
                </c:pt>
                <c:pt idx="93">
                  <c:v>-32.598328000000002</c:v>
                </c:pt>
              </c:numCache>
            </c:numRef>
          </c:yVal>
          <c:smooth val="1"/>
          <c:extLst>
            <c:ext xmlns:c16="http://schemas.microsoft.com/office/drawing/2014/chart" uri="{C3380CC4-5D6E-409C-BE32-E72D297353CC}">
              <c16:uniqueId val="{00000000-66ED-4D4B-9604-89ECEC07F9FE}"/>
            </c:ext>
          </c:extLst>
        </c:ser>
        <c:dLbls>
          <c:showLegendKey val="0"/>
          <c:showVal val="0"/>
          <c:showCatName val="0"/>
          <c:showSerName val="0"/>
          <c:showPercent val="0"/>
          <c:showBubbleSize val="0"/>
        </c:dLbls>
        <c:axId val="376890160"/>
        <c:axId val="376888848"/>
      </c:scatterChart>
      <c:valAx>
        <c:axId val="376890160"/>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[seconds]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88848"/>
        <c:crossesAt val="-32.620000000000005"/>
        <c:crossBetween val="midCat"/>
      </c:valAx>
      <c:valAx>
        <c:axId val="376888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t>
                </a:r>
                <a:r>
                  <a:rPr lang="en-US" baseline="-25000"/>
                  <a:t>RX</a:t>
                </a:r>
                <a:r>
                  <a:rPr lang="en-US" baseline="0"/>
                  <a:t> / P</a:t>
                </a:r>
                <a:r>
                  <a:rPr lang="en-US" baseline="-25000"/>
                  <a:t>src</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8901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ND3YPHQTDDEW-1543181176-79</_dlc_DocId>
    <_dlc_DocIdUrl xmlns="05fef6b6-48ff-4793-a586-dff4857ec2fd">
      <Url>https://sharepoint.rsint.net/teams/1S_Dev/_layouts/15/DocIdRedir.aspx?ID=ND3YPHQTDDEW-1543181176-79</Url>
      <Description>ND3YPHQTDDEW-1543181176-79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3.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4.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0B37E-6232-42C3-BEF0-49BCB499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2019-11-08T16:08:00Z</dcterms:created>
  <dcterms:modified xsi:type="dcterms:W3CDTF">2020-08-07T15:15:00Z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6e19b6ea-db85-48a8-8660-1184e9b228ae</vt:lpwstr>
  </property>
</Properties>
</file>